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sz w:val="32"/>
          <w:szCs w:val="32"/>
        </w:rPr>
      </w:pPr>
      <w:r>
        <w:rPr>
          <w:rFonts w:hint="eastAsia"/>
          <w:sz w:val="32"/>
          <w:szCs w:val="32"/>
        </w:rPr>
        <w:t>附：</w:t>
      </w:r>
    </w:p>
    <w:p>
      <w:pPr>
        <w:jc w:val="center"/>
      </w:pPr>
      <w:r>
        <w:rPr>
          <w:rFonts w:hint="eastAsia"/>
          <w:b/>
          <w:sz w:val="32"/>
          <w:szCs w:val="32"/>
        </w:rPr>
        <w:t>项目综合评分内容及标准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709"/>
        <w:gridCol w:w="709"/>
        <w:gridCol w:w="2055"/>
        <w:gridCol w:w="2764"/>
      </w:tblGrid>
      <w:tr>
        <w:trPr>
          <w:trHeight w:val="448"/>
        </w:trPr>
        <w:tc>
          <w:tcPr>
            <w:tcW w:w="534"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序号</w:t>
            </w:r>
          </w:p>
        </w:tc>
        <w:tc>
          <w:tcPr>
            <w:tcW w:w="2551" w:type="dxa"/>
            <w:gridSpan w:val="2"/>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评分项</w:t>
            </w:r>
          </w:p>
        </w:tc>
        <w:tc>
          <w:tcPr>
            <w:tcW w:w="5528" w:type="dxa"/>
            <w:gridSpan w:val="3"/>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权重</w:t>
            </w:r>
          </w:p>
        </w:tc>
      </w:tr>
      <w:tr>
        <w:tc>
          <w:tcPr>
            <w:tcW w:w="534" w:type="dxa"/>
            <w:vMerge w:val="restart"/>
            <w:tcBorders>
              <w:top w:val="single" w:sz="4" w:space="0" w:color="auto"/>
              <w:left w:val="single" w:sz="4" w:space="0" w:color="auto"/>
              <w:right w:val="single" w:sz="4" w:space="0" w:color="auto"/>
            </w:tcBorders>
            <w:vAlign w:val="center"/>
          </w:tcPr>
          <w:p>
            <w:pPr>
              <w:jc w:val="center"/>
              <w:rPr>
                <w:rFonts w:ascii="宋体" w:hAnsi="宋体"/>
                <w:b/>
                <w:szCs w:val="21"/>
              </w:rPr>
            </w:pPr>
            <w:r>
              <w:rPr>
                <w:rFonts w:ascii="宋体" w:hAnsi="宋体"/>
                <w:b/>
                <w:szCs w:val="21"/>
              </w:rPr>
              <w:t>1</w:t>
            </w:r>
          </w:p>
        </w:tc>
        <w:tc>
          <w:tcPr>
            <w:tcW w:w="2551" w:type="dxa"/>
            <w:gridSpan w:val="2"/>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评分因素</w:t>
            </w:r>
          </w:p>
        </w:tc>
        <w:tc>
          <w:tcPr>
            <w:tcW w:w="2764" w:type="dxa"/>
            <w:gridSpan w:val="2"/>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价格</w:t>
            </w:r>
          </w:p>
        </w:tc>
        <w:tc>
          <w:tcPr>
            <w:tcW w:w="2764"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30</w:t>
            </w:r>
          </w:p>
        </w:tc>
      </w:tr>
      <w:tr>
        <w:trPr>
          <w:trHeight w:val="3026"/>
        </w:trPr>
        <w:tc>
          <w:tcPr>
            <w:tcW w:w="534" w:type="dxa"/>
            <w:vMerge/>
            <w:tcBorders>
              <w:left w:val="single" w:sz="4" w:space="0" w:color="auto"/>
              <w:bottom w:val="single" w:sz="4" w:space="0" w:color="auto"/>
              <w:right w:val="single" w:sz="4" w:space="0" w:color="auto"/>
            </w:tcBorders>
          </w:tcPr>
          <w:p>
            <w:pPr>
              <w:jc w:val="center"/>
              <w:rPr>
                <w:rFonts w:ascii="宋体" w:hAnsi="宋体"/>
                <w:b/>
                <w:szCs w:val="21"/>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方案报价</w:t>
            </w:r>
          </w:p>
        </w:tc>
        <w:tc>
          <w:tcPr>
            <w:tcW w:w="2764" w:type="dxa"/>
            <w:gridSpan w:val="2"/>
            <w:tcBorders>
              <w:top w:val="single" w:sz="4" w:space="0" w:color="auto"/>
              <w:left w:val="single" w:sz="4" w:space="0" w:color="auto"/>
              <w:bottom w:val="single" w:sz="4" w:space="0" w:color="auto"/>
              <w:right w:val="single" w:sz="4" w:space="0" w:color="auto"/>
            </w:tcBorders>
          </w:tcPr>
          <w:p>
            <w:pPr>
              <w:jc w:val="left"/>
              <w:rPr>
                <w:rFonts w:ascii="宋体" w:hAnsi="宋体"/>
                <w:szCs w:val="21"/>
              </w:rPr>
            </w:pPr>
            <w:r>
              <w:rPr>
                <w:szCs w:val="21"/>
              </w:rPr>
              <w:t>综合评分法中的价格</w:t>
            </w:r>
            <w:proofErr w:type="gramStart"/>
            <w:r>
              <w:rPr>
                <w:szCs w:val="21"/>
              </w:rPr>
              <w:t>分统一</w:t>
            </w:r>
            <w:proofErr w:type="gramEnd"/>
            <w:r>
              <w:rPr>
                <w:szCs w:val="21"/>
              </w:rPr>
              <w:t>采用低价优先法计算</w:t>
            </w:r>
            <w:r>
              <w:rPr>
                <w:szCs w:val="21"/>
              </w:rPr>
              <w:t>,</w:t>
            </w:r>
            <w:r>
              <w:rPr>
                <w:szCs w:val="21"/>
              </w:rPr>
              <w:t>即满足招标文件要求且投标价格最低的投标报价为评标基准价</w:t>
            </w:r>
            <w:r>
              <w:rPr>
                <w:szCs w:val="21"/>
              </w:rPr>
              <w:t>,</w:t>
            </w:r>
            <w:r>
              <w:rPr>
                <w:szCs w:val="21"/>
              </w:rPr>
              <w:t>其价格分为满分。其他投标人的价格</w:t>
            </w:r>
            <w:proofErr w:type="gramStart"/>
            <w:r>
              <w:rPr>
                <w:szCs w:val="21"/>
              </w:rPr>
              <w:t>分统一</w:t>
            </w:r>
            <w:proofErr w:type="gramEnd"/>
            <w:r>
              <w:rPr>
                <w:szCs w:val="21"/>
              </w:rPr>
              <w:t>按照下列公式计算：投标报价得分</w:t>
            </w:r>
            <w:r>
              <w:rPr>
                <w:szCs w:val="21"/>
              </w:rPr>
              <w:t>=(</w:t>
            </w:r>
            <w:r>
              <w:rPr>
                <w:szCs w:val="21"/>
              </w:rPr>
              <w:t>评标基准价</w:t>
            </w:r>
            <w:r>
              <w:rPr>
                <w:szCs w:val="21"/>
              </w:rPr>
              <w:t>/</w:t>
            </w:r>
            <w:r>
              <w:rPr>
                <w:szCs w:val="21"/>
              </w:rPr>
              <w:t>投标报价</w:t>
            </w:r>
            <w:r>
              <w:rPr>
                <w:szCs w:val="21"/>
              </w:rPr>
              <w:t>)×</w:t>
            </w:r>
            <w:r>
              <w:rPr>
                <w:szCs w:val="21"/>
              </w:rPr>
              <w:t>权重</w:t>
            </w:r>
          </w:p>
        </w:tc>
        <w:tc>
          <w:tcPr>
            <w:tcW w:w="2764"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cs="宋体" w:hint="eastAsia"/>
                <w:szCs w:val="21"/>
                <w:lang w:val="zh-CN"/>
              </w:rPr>
              <w:t>按公式计算</w:t>
            </w:r>
          </w:p>
        </w:tc>
      </w:tr>
      <w:tr>
        <w:trPr>
          <w:trHeight w:val="450"/>
        </w:trPr>
        <w:tc>
          <w:tcPr>
            <w:tcW w:w="534" w:type="dxa"/>
            <w:tcBorders>
              <w:top w:val="single" w:sz="4" w:space="0" w:color="auto"/>
              <w:left w:val="single" w:sz="4" w:space="0" w:color="auto"/>
              <w:right w:val="single" w:sz="4" w:space="0" w:color="auto"/>
            </w:tcBorders>
          </w:tcPr>
          <w:p>
            <w:pPr>
              <w:jc w:val="center"/>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评分因素</w:t>
            </w:r>
          </w:p>
        </w:tc>
        <w:tc>
          <w:tcPr>
            <w:tcW w:w="709"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权重</w:t>
            </w:r>
          </w:p>
        </w:tc>
        <w:tc>
          <w:tcPr>
            <w:tcW w:w="709"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评分方式</w:t>
            </w:r>
          </w:p>
        </w:tc>
        <w:tc>
          <w:tcPr>
            <w:tcW w:w="4819" w:type="dxa"/>
            <w:gridSpan w:val="2"/>
            <w:tcBorders>
              <w:top w:val="single" w:sz="4" w:space="0" w:color="auto"/>
              <w:left w:val="single" w:sz="4" w:space="0" w:color="auto"/>
              <w:bottom w:val="single" w:sz="4" w:space="0" w:color="auto"/>
              <w:right w:val="single" w:sz="4" w:space="0" w:color="auto"/>
            </w:tcBorders>
          </w:tcPr>
          <w:p>
            <w:pPr>
              <w:jc w:val="center"/>
              <w:rPr>
                <w:rFonts w:ascii="宋体" w:hAnsi="宋体"/>
                <w:color w:val="000000" w:themeColor="text1"/>
                <w:szCs w:val="21"/>
              </w:rPr>
            </w:pPr>
            <w:r>
              <w:rPr>
                <w:rFonts w:ascii="宋体" w:hAnsi="宋体" w:hint="eastAsia"/>
                <w:color w:val="000000" w:themeColor="text1"/>
                <w:szCs w:val="21"/>
              </w:rPr>
              <w:t>评分准则</w:t>
            </w:r>
          </w:p>
        </w:tc>
      </w:tr>
      <w:tr>
        <w:trPr>
          <w:trHeight w:val="63"/>
        </w:trPr>
        <w:tc>
          <w:tcPr>
            <w:tcW w:w="534" w:type="dxa"/>
            <w:tcBorders>
              <w:left w:val="single" w:sz="4" w:space="0" w:color="auto"/>
              <w:right w:val="single" w:sz="4" w:space="0" w:color="auto"/>
            </w:tcBorders>
            <w:vAlign w:val="center"/>
          </w:tcPr>
          <w:p>
            <w:pPr>
              <w:widowControl/>
              <w:jc w:val="left"/>
              <w:rPr>
                <w:rFonts w:ascii="宋体" w:hAnsi="宋体"/>
                <w:szCs w:val="21"/>
              </w:rPr>
            </w:pPr>
            <w:r>
              <w:rPr>
                <w:rFonts w:ascii="宋体" w:hAnsi="宋体" w:hint="eastAsia"/>
                <w:szCs w:val="21"/>
              </w:rPr>
              <w:t>2</w:t>
            </w:r>
          </w:p>
        </w:tc>
        <w:tc>
          <w:tcPr>
            <w:tcW w:w="1842" w:type="dxa"/>
            <w:tcBorders>
              <w:top w:val="single" w:sz="4" w:space="0" w:color="auto"/>
              <w:left w:val="single" w:sz="4" w:space="0" w:color="auto"/>
              <w:bottom w:val="single" w:sz="4" w:space="0" w:color="auto"/>
              <w:right w:val="single" w:sz="4" w:space="0" w:color="auto"/>
            </w:tcBorders>
          </w:tcPr>
          <w:p>
            <w:pPr>
              <w:rPr>
                <w:rFonts w:ascii="宋体" w:hAnsi="宋体"/>
                <w:szCs w:val="21"/>
              </w:rPr>
            </w:pPr>
            <w:proofErr w:type="gramStart"/>
            <w:r>
              <w:rPr>
                <w:rFonts w:ascii="宋体" w:hAnsi="宋体" w:hint="eastAsia"/>
                <w:szCs w:val="21"/>
              </w:rPr>
              <w:t>微信公众</w:t>
            </w:r>
            <w:proofErr w:type="gramEnd"/>
            <w:r>
              <w:rPr>
                <w:rFonts w:ascii="宋体" w:hAnsi="宋体" w:hint="eastAsia"/>
                <w:szCs w:val="21"/>
              </w:rPr>
              <w:t>服务号升级服务项目解决方案</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30</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采购小组打分</w:t>
            </w:r>
          </w:p>
        </w:tc>
        <w:tc>
          <w:tcPr>
            <w:tcW w:w="4819" w:type="dxa"/>
            <w:gridSpan w:val="2"/>
            <w:tcBorders>
              <w:top w:val="single" w:sz="4" w:space="0" w:color="auto"/>
              <w:left w:val="single" w:sz="4" w:space="0" w:color="auto"/>
              <w:bottom w:val="single" w:sz="4" w:space="0" w:color="auto"/>
              <w:right w:val="single" w:sz="4" w:space="0" w:color="auto"/>
            </w:tcBorders>
          </w:tcPr>
          <w:p>
            <w:pPr>
              <w:rPr>
                <w:b/>
                <w:bCs/>
                <w:szCs w:val="21"/>
              </w:rPr>
            </w:pPr>
            <w:r>
              <w:rPr>
                <w:rFonts w:hint="eastAsia"/>
                <w:szCs w:val="21"/>
              </w:rPr>
              <w:t>（一）评分内容</w:t>
            </w:r>
            <w:r>
              <w:rPr>
                <w:szCs w:val="21"/>
              </w:rPr>
              <w:t>：</w:t>
            </w:r>
            <w:r>
              <w:rPr>
                <w:rFonts w:hint="eastAsia"/>
                <w:szCs w:val="21"/>
              </w:rPr>
              <w:t>微信公众服务号升级服务项目解决方案</w:t>
            </w:r>
          </w:p>
          <w:p>
            <w:pPr>
              <w:jc w:val="left"/>
              <w:rPr>
                <w:rFonts w:ascii="宋体" w:hAnsi="宋体"/>
                <w:szCs w:val="21"/>
              </w:rPr>
            </w:pPr>
            <w:r>
              <w:rPr>
                <w:rFonts w:hint="eastAsia"/>
                <w:szCs w:val="21"/>
              </w:rPr>
              <w:t>（二）评分依据：根据供应商解决方案进行评价，先比较排出名次（排名不可并列），再对应得分：评价</w:t>
            </w:r>
            <w:proofErr w:type="gramStart"/>
            <w:r>
              <w:rPr>
                <w:rFonts w:hint="eastAsia"/>
                <w:szCs w:val="21"/>
              </w:rPr>
              <w:t>为优得</w:t>
            </w:r>
            <w:proofErr w:type="gramEnd"/>
            <w:r>
              <w:rPr>
                <w:rFonts w:hint="eastAsia"/>
                <w:szCs w:val="21"/>
              </w:rPr>
              <w:t>30-26</w:t>
            </w:r>
            <w:r>
              <w:rPr>
                <w:rFonts w:hint="eastAsia"/>
                <w:szCs w:val="21"/>
              </w:rPr>
              <w:t>；评价</w:t>
            </w:r>
            <w:proofErr w:type="gramStart"/>
            <w:r>
              <w:rPr>
                <w:rFonts w:hint="eastAsia"/>
                <w:szCs w:val="21"/>
              </w:rPr>
              <w:t>为良得</w:t>
            </w:r>
            <w:proofErr w:type="gramEnd"/>
            <w:r>
              <w:rPr>
                <w:rFonts w:hint="eastAsia"/>
                <w:szCs w:val="21"/>
              </w:rPr>
              <w:t>26-21</w:t>
            </w:r>
            <w:r>
              <w:rPr>
                <w:rFonts w:hint="eastAsia"/>
                <w:szCs w:val="21"/>
              </w:rPr>
              <w:t>；评价为中得</w:t>
            </w:r>
            <w:r>
              <w:rPr>
                <w:rFonts w:hint="eastAsia"/>
                <w:szCs w:val="21"/>
              </w:rPr>
              <w:t>15-19</w:t>
            </w:r>
            <w:r>
              <w:rPr>
                <w:rFonts w:hint="eastAsia"/>
                <w:szCs w:val="21"/>
              </w:rPr>
              <w:t>；不提供不得分</w:t>
            </w:r>
          </w:p>
        </w:tc>
      </w:tr>
      <w:tr>
        <w:trPr>
          <w:trHeight w:val="63"/>
        </w:trPr>
        <w:tc>
          <w:tcPr>
            <w:tcW w:w="534" w:type="dxa"/>
            <w:tcBorders>
              <w:left w:val="single" w:sz="4" w:space="0" w:color="auto"/>
              <w:right w:val="single" w:sz="4" w:space="0" w:color="auto"/>
            </w:tcBorders>
            <w:vAlign w:val="center"/>
          </w:tcPr>
          <w:p>
            <w:pPr>
              <w:widowControl/>
              <w:jc w:val="left"/>
              <w:rPr>
                <w:rFonts w:ascii="宋体" w:hAnsi="宋体"/>
                <w:szCs w:val="21"/>
              </w:rPr>
            </w:pPr>
            <w:r>
              <w:rPr>
                <w:rFonts w:ascii="宋体" w:hAnsi="宋体" w:hint="eastAsia"/>
                <w:szCs w:val="21"/>
              </w:rPr>
              <w:t>3</w:t>
            </w:r>
          </w:p>
        </w:tc>
        <w:tc>
          <w:tcPr>
            <w:tcW w:w="1842" w:type="dxa"/>
            <w:tcBorders>
              <w:top w:val="single" w:sz="4" w:space="0" w:color="auto"/>
              <w:left w:val="single" w:sz="4" w:space="0" w:color="auto"/>
              <w:bottom w:val="single" w:sz="4" w:space="0" w:color="auto"/>
              <w:right w:val="single" w:sz="4" w:space="0" w:color="auto"/>
            </w:tcBorders>
          </w:tcPr>
          <w:p>
            <w:pPr>
              <w:rPr>
                <w:rFonts w:ascii="宋体" w:hAnsi="宋体"/>
                <w:szCs w:val="21"/>
              </w:rPr>
            </w:pPr>
            <w:r>
              <w:rPr>
                <w:rFonts w:ascii="宋体" w:hAnsi="宋体" w:hint="eastAsia"/>
                <w:szCs w:val="21"/>
              </w:rPr>
              <w:t>质量控制及保障措施</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采购小组打分</w:t>
            </w:r>
          </w:p>
        </w:tc>
        <w:tc>
          <w:tcPr>
            <w:tcW w:w="4819" w:type="dxa"/>
            <w:gridSpan w:val="2"/>
            <w:tcBorders>
              <w:top w:val="single" w:sz="4" w:space="0" w:color="auto"/>
              <w:left w:val="single" w:sz="4" w:space="0" w:color="auto"/>
              <w:bottom w:val="single" w:sz="4" w:space="0" w:color="auto"/>
              <w:right w:val="single" w:sz="4" w:space="0" w:color="auto"/>
            </w:tcBorders>
          </w:tcPr>
          <w:p>
            <w:pPr>
              <w:jc w:val="left"/>
              <w:rPr>
                <w:szCs w:val="21"/>
              </w:rPr>
            </w:pPr>
            <w:r>
              <w:rPr>
                <w:rFonts w:ascii="宋体" w:hAnsi="宋体" w:hint="eastAsia"/>
                <w:szCs w:val="21"/>
              </w:rPr>
              <w:t>对质量控制及保障措施及项目重点难点分析、应对措施及相关的合理化建议进行评价，评价</w:t>
            </w:r>
            <w:proofErr w:type="gramStart"/>
            <w:r>
              <w:rPr>
                <w:rFonts w:ascii="宋体" w:hAnsi="宋体" w:hint="eastAsia"/>
                <w:szCs w:val="21"/>
              </w:rPr>
              <w:t>为优得10分</w:t>
            </w:r>
            <w:proofErr w:type="gramEnd"/>
            <w:r>
              <w:rPr>
                <w:rFonts w:ascii="宋体" w:hAnsi="宋体" w:hint="eastAsia"/>
                <w:szCs w:val="21"/>
              </w:rPr>
              <w:t>，评价</w:t>
            </w:r>
            <w:proofErr w:type="gramStart"/>
            <w:r>
              <w:rPr>
                <w:rFonts w:ascii="宋体" w:hAnsi="宋体" w:hint="eastAsia"/>
                <w:szCs w:val="21"/>
              </w:rPr>
              <w:t>为良得8分</w:t>
            </w:r>
            <w:proofErr w:type="gramEnd"/>
            <w:r>
              <w:rPr>
                <w:rFonts w:ascii="宋体" w:hAnsi="宋体" w:hint="eastAsia"/>
                <w:szCs w:val="21"/>
              </w:rPr>
              <w:t>，评价为中等得5分，评价为差或不提供不得分</w:t>
            </w:r>
          </w:p>
        </w:tc>
      </w:tr>
      <w:tr>
        <w:trPr>
          <w:trHeight w:val="63"/>
        </w:trPr>
        <w:tc>
          <w:tcPr>
            <w:tcW w:w="534" w:type="dxa"/>
            <w:tcBorders>
              <w:left w:val="single" w:sz="4" w:space="0" w:color="auto"/>
              <w:right w:val="single" w:sz="4" w:space="0" w:color="auto"/>
            </w:tcBorders>
            <w:vAlign w:val="center"/>
          </w:tcPr>
          <w:p>
            <w:pPr>
              <w:widowControl/>
              <w:jc w:val="left"/>
              <w:rPr>
                <w:rFonts w:ascii="宋体" w:hAnsi="宋体"/>
                <w:szCs w:val="21"/>
              </w:rPr>
            </w:pPr>
            <w:r>
              <w:rPr>
                <w:rFonts w:ascii="宋体" w:hAnsi="宋体" w:hint="eastAsia"/>
                <w:szCs w:val="21"/>
              </w:rPr>
              <w:t>4</w:t>
            </w:r>
          </w:p>
        </w:tc>
        <w:tc>
          <w:tcPr>
            <w:tcW w:w="1842"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类似业绩</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采购小组打分</w:t>
            </w:r>
          </w:p>
        </w:tc>
        <w:tc>
          <w:tcPr>
            <w:tcW w:w="4819" w:type="dxa"/>
            <w:gridSpan w:val="2"/>
            <w:tcBorders>
              <w:top w:val="single" w:sz="4" w:space="0" w:color="auto"/>
              <w:left w:val="single" w:sz="4" w:space="0" w:color="auto"/>
              <w:bottom w:val="single" w:sz="4" w:space="0" w:color="auto"/>
              <w:right w:val="single" w:sz="4" w:space="0" w:color="auto"/>
            </w:tcBorders>
          </w:tcPr>
          <w:p>
            <w:pPr>
              <w:jc w:val="left"/>
              <w:rPr>
                <w:rFonts w:ascii="宋体" w:hAnsi="宋体"/>
                <w:szCs w:val="21"/>
              </w:rPr>
            </w:pPr>
            <w:r>
              <w:rPr>
                <w:rFonts w:hint="eastAsia"/>
                <w:szCs w:val="21"/>
              </w:rPr>
              <w:t>提供法院同类项目业绩，并提供合同关键页</w:t>
            </w:r>
            <w:bookmarkStart w:id="0" w:name="_GoBack"/>
            <w:bookmarkEnd w:id="0"/>
            <w:r>
              <w:rPr>
                <w:rFonts w:hint="eastAsia"/>
                <w:szCs w:val="21"/>
              </w:rPr>
              <w:t>复印件的，每提供</w:t>
            </w:r>
            <w:r>
              <w:rPr>
                <w:rFonts w:hint="eastAsia"/>
                <w:szCs w:val="21"/>
              </w:rPr>
              <w:t>1</w:t>
            </w:r>
            <w:r>
              <w:rPr>
                <w:rFonts w:hint="eastAsia"/>
                <w:szCs w:val="21"/>
              </w:rPr>
              <w:t>个得</w:t>
            </w:r>
            <w:r>
              <w:rPr>
                <w:rFonts w:hint="eastAsia"/>
                <w:szCs w:val="21"/>
              </w:rPr>
              <w:t>2</w:t>
            </w:r>
            <w:r>
              <w:rPr>
                <w:rFonts w:hint="eastAsia"/>
                <w:szCs w:val="21"/>
              </w:rPr>
              <w:t>分</w:t>
            </w:r>
          </w:p>
        </w:tc>
      </w:tr>
      <w:tr>
        <w:trPr>
          <w:trHeight w:val="78"/>
        </w:trPr>
        <w:tc>
          <w:tcPr>
            <w:tcW w:w="534" w:type="dxa"/>
            <w:tcBorders>
              <w:left w:val="single" w:sz="4" w:space="0" w:color="auto"/>
              <w:right w:val="single" w:sz="4" w:space="0" w:color="auto"/>
            </w:tcBorders>
            <w:vAlign w:val="center"/>
          </w:tcPr>
          <w:p>
            <w:pPr>
              <w:widowControl/>
              <w:jc w:val="left"/>
              <w:rPr>
                <w:rFonts w:ascii="宋体" w:hAnsi="宋体"/>
                <w:szCs w:val="21"/>
              </w:rPr>
            </w:pPr>
            <w:r>
              <w:rPr>
                <w:rFonts w:ascii="宋体" w:hAnsi="宋体" w:hint="eastAsia"/>
                <w:szCs w:val="21"/>
              </w:rPr>
              <w:t>5</w:t>
            </w:r>
          </w:p>
        </w:tc>
        <w:tc>
          <w:tcPr>
            <w:tcW w:w="1842"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运维服务及售后保障</w:t>
            </w:r>
          </w:p>
        </w:tc>
        <w:tc>
          <w:tcPr>
            <w:tcW w:w="709" w:type="dxa"/>
            <w:tcBorders>
              <w:top w:val="single" w:sz="4" w:space="0" w:color="auto"/>
              <w:left w:val="single" w:sz="4" w:space="0" w:color="auto"/>
              <w:bottom w:val="single" w:sz="4" w:space="0" w:color="auto"/>
              <w:right w:val="single" w:sz="4" w:space="0" w:color="auto"/>
            </w:tcBorders>
            <w:vAlign w:val="center"/>
          </w:tcPr>
          <w:p>
            <w:pPr>
              <w:spacing w:line="240" w:lineRule="exact"/>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采购小组打分</w:t>
            </w:r>
          </w:p>
        </w:tc>
        <w:tc>
          <w:tcPr>
            <w:tcW w:w="4819" w:type="dxa"/>
            <w:gridSpan w:val="2"/>
            <w:tcBorders>
              <w:top w:val="single" w:sz="4" w:space="0" w:color="auto"/>
              <w:left w:val="single" w:sz="4" w:space="0" w:color="auto"/>
              <w:bottom w:val="single" w:sz="4" w:space="0" w:color="auto"/>
              <w:right w:val="single" w:sz="4" w:space="0" w:color="auto"/>
            </w:tcBorders>
          </w:tcPr>
          <w:p>
            <w:pPr>
              <w:wordWrap w:val="0"/>
              <w:rPr>
                <w:rFonts w:ascii="宋体" w:hAnsi="宋体"/>
                <w:szCs w:val="21"/>
              </w:rPr>
            </w:pPr>
            <w:r>
              <w:rPr>
                <w:rFonts w:ascii="宋体" w:hAnsi="宋体" w:hint="eastAsia"/>
                <w:szCs w:val="21"/>
              </w:rPr>
              <w:t>运维服务及售后保障措施进行评价，评价</w:t>
            </w:r>
            <w:proofErr w:type="gramStart"/>
            <w:r>
              <w:rPr>
                <w:rFonts w:ascii="宋体" w:hAnsi="宋体" w:hint="eastAsia"/>
                <w:szCs w:val="21"/>
              </w:rPr>
              <w:t>为优得10分</w:t>
            </w:r>
            <w:proofErr w:type="gramEnd"/>
            <w:r>
              <w:rPr>
                <w:rFonts w:ascii="宋体" w:hAnsi="宋体" w:hint="eastAsia"/>
                <w:szCs w:val="21"/>
              </w:rPr>
              <w:t>，评价</w:t>
            </w:r>
            <w:proofErr w:type="gramStart"/>
            <w:r>
              <w:rPr>
                <w:rFonts w:ascii="宋体" w:hAnsi="宋体" w:hint="eastAsia"/>
                <w:szCs w:val="21"/>
              </w:rPr>
              <w:t>为良得8分</w:t>
            </w:r>
            <w:proofErr w:type="gramEnd"/>
            <w:r>
              <w:rPr>
                <w:rFonts w:ascii="宋体" w:hAnsi="宋体" w:hint="eastAsia"/>
                <w:szCs w:val="21"/>
              </w:rPr>
              <w:t>，评价为中等得5分，评价为差或不提供不得分</w:t>
            </w:r>
          </w:p>
        </w:tc>
      </w:tr>
      <w:tr>
        <w:trPr>
          <w:trHeight w:val="78"/>
        </w:trPr>
        <w:tc>
          <w:tcPr>
            <w:tcW w:w="534" w:type="dxa"/>
            <w:tcBorders>
              <w:left w:val="single" w:sz="4" w:space="0" w:color="auto"/>
              <w:bottom w:val="single" w:sz="4" w:space="0" w:color="auto"/>
              <w:right w:val="single" w:sz="4" w:space="0" w:color="auto"/>
            </w:tcBorders>
            <w:vAlign w:val="center"/>
          </w:tcPr>
          <w:p>
            <w:pPr>
              <w:widowControl/>
              <w:jc w:val="left"/>
              <w:rPr>
                <w:rFonts w:ascii="宋体" w:hAnsi="宋体"/>
                <w:szCs w:val="21"/>
              </w:rPr>
            </w:pPr>
            <w:r>
              <w:rPr>
                <w:rFonts w:ascii="宋体" w:hAnsi="宋体" w:hint="eastAsia"/>
                <w:szCs w:val="21"/>
              </w:rPr>
              <w:t>6</w:t>
            </w:r>
          </w:p>
        </w:tc>
        <w:tc>
          <w:tcPr>
            <w:tcW w:w="1842" w:type="dxa"/>
            <w:tcBorders>
              <w:top w:val="single" w:sz="4" w:space="0" w:color="auto"/>
              <w:left w:val="single" w:sz="4" w:space="0" w:color="auto"/>
              <w:bottom w:val="single" w:sz="4" w:space="0" w:color="auto"/>
              <w:right w:val="single" w:sz="4" w:space="0" w:color="auto"/>
            </w:tcBorders>
          </w:tcPr>
          <w:p>
            <w:pPr>
              <w:jc w:val="center"/>
              <w:rPr>
                <w:rFonts w:ascii="宋体" w:hAnsi="宋体"/>
                <w:szCs w:val="21"/>
              </w:rPr>
            </w:pPr>
            <w:r>
              <w:rPr>
                <w:rFonts w:ascii="宋体" w:hAnsi="宋体" w:hint="eastAsia"/>
                <w:szCs w:val="21"/>
              </w:rPr>
              <w:t>诚信评价</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hAnsi="宋体"/>
                <w:sz w:val="20"/>
                <w:szCs w:val="20"/>
              </w:rPr>
            </w:pPr>
            <w:r>
              <w:rPr>
                <w:rFonts w:ascii="宋体" w:hAnsi="宋体" w:hint="eastAsia"/>
                <w:szCs w:val="21"/>
              </w:rPr>
              <w:t>采购小组打分</w:t>
            </w:r>
          </w:p>
        </w:tc>
        <w:tc>
          <w:tcPr>
            <w:tcW w:w="4819" w:type="dxa"/>
            <w:gridSpan w:val="2"/>
            <w:tcBorders>
              <w:top w:val="single" w:sz="4" w:space="0" w:color="auto"/>
              <w:left w:val="single" w:sz="4" w:space="0" w:color="auto"/>
              <w:bottom w:val="single" w:sz="4" w:space="0" w:color="auto"/>
              <w:right w:val="single" w:sz="4" w:space="0" w:color="auto"/>
            </w:tcBorders>
          </w:tcPr>
          <w:p>
            <w:pPr>
              <w:jc w:val="left"/>
              <w:rPr>
                <w:rFonts w:ascii="宋体" w:hAnsi="宋体"/>
                <w:szCs w:val="21"/>
              </w:rPr>
            </w:pPr>
            <w:r>
              <w:rPr>
                <w:rFonts w:ascii="宋体" w:hAnsi="宋体" w:hint="eastAsia"/>
                <w:szCs w:val="21"/>
              </w:rPr>
              <w:t>根据《深圳市政府采购供应商诚信管理暂行办法》相关规定，</w:t>
            </w:r>
            <w:r>
              <w:rPr>
                <w:rFonts w:hint="eastAsia"/>
                <w:szCs w:val="21"/>
              </w:rPr>
              <w:t>意向供应商</w:t>
            </w:r>
            <w:r>
              <w:rPr>
                <w:rFonts w:ascii="宋体" w:hAnsi="宋体" w:hint="eastAsia"/>
                <w:szCs w:val="21"/>
              </w:rPr>
              <w:t>在参与政府采购活动中出现诚信相关问题且在相关主管部门处理措施实施期限内的本项不得分，否则得满分。（须提供《诚信承诺函》，按</w:t>
            </w:r>
            <w:r>
              <w:rPr>
                <w:rFonts w:hint="eastAsia"/>
                <w:szCs w:val="21"/>
              </w:rPr>
              <w:t>报价方案</w:t>
            </w:r>
            <w:r>
              <w:rPr>
                <w:rFonts w:ascii="宋体" w:hAnsi="宋体" w:hint="eastAsia"/>
                <w:szCs w:val="21"/>
              </w:rPr>
              <w:t>格式要求提供，不提供不得分。如被认定提供的陈述与事实不符的，依法追究其责任。</w:t>
            </w:r>
          </w:p>
        </w:tc>
      </w:tr>
    </w:tbl>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rFonts w:ascii="Calibri" w:eastAsia="宋体" w:hAnsi="Calibri" w:cs="Times New Roman"/>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rFonts w:ascii="Calibri" w:eastAsia="宋体" w:hAnsi="Calibri" w:cs="Times New Roman"/>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08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593</Characters>
  <Application>Microsoft Office Word</Application>
  <DocSecurity>0</DocSecurity>
  <Lines>4</Lines>
  <Paragraphs>1</Paragraphs>
  <ScaleCrop>false</ScaleCrop>
  <Company>Microsoft</Company>
  <LinksUpToDate>false</LinksUpToDate>
  <CharactersWithSpaces>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赵敬清</cp:lastModifiedBy>
  <cp:revision>3</cp:revision>
  <dcterms:created xsi:type="dcterms:W3CDTF">2019-10-11T02:57:00Z</dcterms:created>
  <dcterms:modified xsi:type="dcterms:W3CDTF">2019-10-11T03:19:00Z</dcterms:modified>
</cp:coreProperties>
</file>