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广东省深圳前海合作区人民法院</w:t>
      </w:r>
    </w:p>
    <w:p>
      <w:pPr>
        <w:jc w:val="center"/>
        <w:rPr>
          <w:rFonts w:asciiTheme="majorEastAsia" w:eastAsiaTheme="majorEastAsia" w:hAnsiTheme="majorEastAsia"/>
          <w:b/>
          <w:sz w:val="44"/>
          <w:szCs w:val="44"/>
        </w:rPr>
      </w:pPr>
      <w:bookmarkStart w:id="0" w:name="_GoBack"/>
      <w:proofErr w:type="gramStart"/>
      <w:r>
        <w:rPr>
          <w:rFonts w:asciiTheme="majorEastAsia" w:eastAsiaTheme="majorEastAsia" w:hAnsiTheme="majorEastAsia" w:hint="eastAsia"/>
          <w:b/>
          <w:sz w:val="44"/>
          <w:szCs w:val="44"/>
        </w:rPr>
        <w:t>微信公众</w:t>
      </w:r>
      <w:proofErr w:type="gramEnd"/>
      <w:r>
        <w:rPr>
          <w:rFonts w:asciiTheme="majorEastAsia" w:eastAsiaTheme="majorEastAsia" w:hAnsiTheme="majorEastAsia" w:hint="eastAsia"/>
          <w:b/>
          <w:sz w:val="44"/>
          <w:szCs w:val="44"/>
        </w:rPr>
        <w:t>服务号升级服务项目采购需求</w:t>
      </w:r>
    </w:p>
    <w:bookmarkEnd w:id="0"/>
    <w:p>
      <w:pPr>
        <w:pStyle w:val="4"/>
        <w:spacing w:before="0" w:after="0" w:line="580" w:lineRule="exact"/>
        <w:rPr>
          <w:rFonts w:ascii="仿宋_GB2312" w:eastAsia="仿宋_GB2312"/>
          <w:sz w:val="32"/>
          <w:szCs w:val="32"/>
        </w:rPr>
      </w:pPr>
    </w:p>
    <w:p>
      <w:pPr>
        <w:spacing w:line="580" w:lineRule="exact"/>
        <w:ind w:firstLineChars="200" w:firstLine="640"/>
        <w:rPr>
          <w:rFonts w:ascii="黑体" w:eastAsia="黑体" w:hAnsi="黑体" w:cs="仿宋"/>
          <w:color w:val="000000"/>
          <w:sz w:val="32"/>
          <w:szCs w:val="32"/>
        </w:rPr>
      </w:pPr>
      <w:r>
        <w:rPr>
          <w:rFonts w:ascii="黑体" w:eastAsia="黑体" w:hAnsi="黑体" w:cs="仿宋" w:hint="eastAsia"/>
          <w:color w:val="000000"/>
          <w:sz w:val="32"/>
          <w:szCs w:val="32"/>
        </w:rPr>
        <w:t>一、采购项目概况</w:t>
      </w:r>
    </w:p>
    <w:p>
      <w:pPr>
        <w:pStyle w:val="a3"/>
        <w:spacing w:line="660" w:lineRule="exact"/>
        <w:ind w:firstLine="640"/>
        <w:rPr>
          <w:rFonts w:ascii="楷体_GB2312" w:eastAsia="楷体_GB2312" w:hAnsi="楷体"/>
          <w:sz w:val="32"/>
          <w:szCs w:val="32"/>
        </w:rPr>
      </w:pPr>
      <w:r>
        <w:rPr>
          <w:rFonts w:ascii="楷体_GB2312" w:eastAsia="楷体_GB2312" w:hAnsi="楷体" w:hint="eastAsia"/>
          <w:sz w:val="32"/>
          <w:szCs w:val="32"/>
        </w:rPr>
        <w:t>（一）项目背景</w:t>
      </w:r>
    </w:p>
    <w:p>
      <w:pPr>
        <w:pStyle w:val="a3"/>
        <w:spacing w:line="660" w:lineRule="exact"/>
        <w:ind w:firstLine="640"/>
        <w:rPr>
          <w:rFonts w:ascii="仿宋_GB2312" w:eastAsia="仿宋_GB2312"/>
          <w:sz w:val="32"/>
          <w:szCs w:val="32"/>
        </w:rPr>
      </w:pPr>
      <w:r>
        <w:rPr>
          <w:rFonts w:ascii="仿宋_GB2312" w:eastAsia="仿宋_GB2312" w:hint="eastAsia"/>
          <w:sz w:val="32"/>
          <w:szCs w:val="32"/>
        </w:rPr>
        <w:t>建设与完善法院</w:t>
      </w:r>
      <w:proofErr w:type="gramStart"/>
      <w:r>
        <w:rPr>
          <w:rFonts w:ascii="仿宋_GB2312" w:eastAsia="仿宋_GB2312" w:hint="eastAsia"/>
          <w:sz w:val="32"/>
          <w:szCs w:val="32"/>
        </w:rPr>
        <w:t>微信公众</w:t>
      </w:r>
      <w:proofErr w:type="gramEnd"/>
      <w:r>
        <w:rPr>
          <w:rFonts w:ascii="仿宋_GB2312" w:eastAsia="仿宋_GB2312" w:hint="eastAsia"/>
          <w:sz w:val="32"/>
          <w:szCs w:val="32"/>
        </w:rPr>
        <w:t>服务号平台，是人民法院适应互联网时代发展新趋势、新要求，加快建设一站式多元解纷机制、一站式诉讼服务中心，满足人民群众对诉讼服务工作新需求的一项重要举措。为了推进我院“互联网+诉讼服务”工作，</w:t>
      </w:r>
      <w:r>
        <w:rPr>
          <w:rFonts w:ascii="仿宋_GB2312" w:eastAsia="仿宋_GB2312" w:hAnsi="黑体" w:hint="eastAsia"/>
          <w:sz w:val="32"/>
          <w:szCs w:val="32"/>
        </w:rPr>
        <w:t>推动“厅网线巡”服务平台一体化建设，切实提高服务人民群众的能力和水平，根据院领导指示，现就我院</w:t>
      </w:r>
      <w:proofErr w:type="gramStart"/>
      <w:r>
        <w:rPr>
          <w:rFonts w:ascii="仿宋_GB2312" w:eastAsia="仿宋_GB2312" w:hAnsi="黑体" w:hint="eastAsia"/>
          <w:sz w:val="32"/>
          <w:szCs w:val="32"/>
        </w:rPr>
        <w:t>微信公众</w:t>
      </w:r>
      <w:proofErr w:type="gramEnd"/>
      <w:r>
        <w:rPr>
          <w:rFonts w:ascii="仿宋_GB2312" w:eastAsia="仿宋_GB2312" w:hAnsi="黑体" w:hint="eastAsia"/>
          <w:sz w:val="32"/>
          <w:szCs w:val="32"/>
        </w:rPr>
        <w:t>服务号升级建设制定采购需求方案如下：</w:t>
      </w:r>
    </w:p>
    <w:p>
      <w:pPr>
        <w:pStyle w:val="a3"/>
        <w:spacing w:line="660" w:lineRule="exact"/>
        <w:ind w:firstLine="640"/>
        <w:rPr>
          <w:rFonts w:ascii="楷体_GB2312" w:eastAsia="楷体_GB2312" w:hAnsi="楷体"/>
          <w:sz w:val="32"/>
          <w:szCs w:val="32"/>
        </w:rPr>
      </w:pPr>
      <w:r>
        <w:rPr>
          <w:rFonts w:ascii="楷体_GB2312" w:eastAsia="楷体_GB2312" w:hAnsi="楷体" w:hint="eastAsia"/>
          <w:sz w:val="32"/>
          <w:szCs w:val="32"/>
        </w:rPr>
        <w:t>（二）项目预算</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本项目预算金额为13万元。</w:t>
      </w:r>
    </w:p>
    <w:p>
      <w:pPr>
        <w:spacing w:line="580" w:lineRule="exact"/>
        <w:ind w:firstLineChars="200" w:firstLine="640"/>
        <w:rPr>
          <w:rFonts w:ascii="黑体" w:eastAsia="黑体" w:hAnsi="黑体" w:cs="仿宋"/>
          <w:color w:val="000000"/>
          <w:sz w:val="32"/>
          <w:szCs w:val="32"/>
        </w:rPr>
      </w:pPr>
      <w:r>
        <w:rPr>
          <w:rFonts w:ascii="黑体" w:eastAsia="黑体" w:hAnsi="黑体" w:cs="仿宋" w:hint="eastAsia"/>
          <w:color w:val="000000"/>
          <w:sz w:val="32"/>
          <w:szCs w:val="32"/>
        </w:rPr>
        <w:t>二、项目服务内容和要求</w:t>
      </w:r>
    </w:p>
    <w:p>
      <w:pPr>
        <w:pStyle w:val="a3"/>
        <w:spacing w:line="660" w:lineRule="exact"/>
        <w:ind w:firstLine="640"/>
        <w:rPr>
          <w:rFonts w:ascii="楷体_GB2312" w:eastAsia="楷体_GB2312" w:hAnsi="楷体"/>
          <w:sz w:val="32"/>
          <w:szCs w:val="32"/>
        </w:rPr>
      </w:pPr>
      <w:r>
        <w:rPr>
          <w:rFonts w:ascii="楷体_GB2312" w:eastAsia="楷体_GB2312" w:hAnsi="楷体" w:hint="eastAsia"/>
          <w:sz w:val="32"/>
          <w:szCs w:val="32"/>
        </w:rPr>
        <w:t>（一）项目服务内容</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1.前海法治；</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2.多元解纷；</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3.“一带一路”法律服务；</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4.域外法查明；</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5.网上预约；</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lastRenderedPageBreak/>
        <w:t>6.诉讼辅导；</w:t>
      </w:r>
      <w:r>
        <w:rPr>
          <w:rFonts w:ascii="仿宋_GB2312" w:eastAsia="仿宋_GB2312" w:hAnsi="楷体"/>
          <w:sz w:val="32"/>
          <w:szCs w:val="32"/>
        </w:rPr>
        <w:t xml:space="preserve"> </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7.网上立案；</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8.案件信息查询；</w:t>
      </w:r>
      <w:r>
        <w:rPr>
          <w:rFonts w:ascii="仿宋_GB2312" w:eastAsia="仿宋_GB2312" w:hAnsi="楷体"/>
          <w:sz w:val="32"/>
          <w:szCs w:val="32"/>
        </w:rPr>
        <w:t xml:space="preserve"> </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9.庭审直播；</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10.网上阅卷；</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11.裁判文书公开；</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12.预约法官。</w:t>
      </w:r>
    </w:p>
    <w:p>
      <w:pPr>
        <w:pStyle w:val="a3"/>
        <w:spacing w:line="660" w:lineRule="exact"/>
        <w:ind w:firstLine="640"/>
        <w:rPr>
          <w:rFonts w:ascii="楷体_GB2312" w:eastAsia="楷体_GB2312" w:hAnsi="楷体"/>
          <w:sz w:val="32"/>
          <w:szCs w:val="32"/>
        </w:rPr>
      </w:pPr>
      <w:r>
        <w:rPr>
          <w:rFonts w:ascii="楷体_GB2312" w:eastAsia="楷体_GB2312" w:hAnsi="楷体" w:hint="eastAsia"/>
          <w:sz w:val="32"/>
          <w:szCs w:val="32"/>
        </w:rPr>
        <w:t>（二）项目服务工作要求</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1.前海法治：</w:t>
      </w:r>
      <w:r>
        <w:rPr>
          <w:rFonts w:ascii="仿宋_GB2312" w:eastAsia="仿宋_GB2312" w:hAnsi="楷体" w:hint="eastAsia"/>
          <w:sz w:val="32"/>
          <w:szCs w:val="32"/>
        </w:rPr>
        <w:t>以文字展示形式介绍前</w:t>
      </w:r>
      <w:proofErr w:type="gramStart"/>
      <w:r>
        <w:rPr>
          <w:rFonts w:ascii="仿宋_GB2312" w:eastAsia="仿宋_GB2312" w:hAnsi="楷体" w:hint="eastAsia"/>
          <w:sz w:val="32"/>
          <w:szCs w:val="32"/>
        </w:rPr>
        <w:t>海区位</w:t>
      </w:r>
      <w:proofErr w:type="gramEnd"/>
      <w:r>
        <w:rPr>
          <w:rFonts w:ascii="仿宋_GB2312" w:eastAsia="仿宋_GB2312" w:hAnsi="楷体" w:hint="eastAsia"/>
          <w:sz w:val="32"/>
          <w:szCs w:val="32"/>
        </w:rPr>
        <w:t>优势以及前海法院定位、使命与业绩。</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2.多元解纷：</w:t>
      </w:r>
      <w:r>
        <w:rPr>
          <w:rFonts w:ascii="仿宋_GB2312" w:eastAsia="仿宋_GB2312" w:hAnsi="楷体" w:hint="eastAsia"/>
          <w:sz w:val="32"/>
          <w:szCs w:val="32"/>
        </w:rPr>
        <w:t>链接至“一带一路”法律公共服务平台的“国际商事诉调对接”</w:t>
      </w:r>
      <w:proofErr w:type="gramStart"/>
      <w:r>
        <w:rPr>
          <w:rFonts w:ascii="仿宋_GB2312" w:eastAsia="仿宋_GB2312" w:hAnsi="楷体" w:hint="eastAsia"/>
          <w:sz w:val="32"/>
          <w:szCs w:val="32"/>
        </w:rPr>
        <w:t>版块</w:t>
      </w:r>
      <w:proofErr w:type="gramEnd"/>
      <w:r>
        <w:rPr>
          <w:rFonts w:ascii="仿宋_GB2312" w:eastAsia="仿宋_GB2312" w:hAnsi="楷体" w:hint="eastAsia"/>
          <w:sz w:val="32"/>
          <w:szCs w:val="32"/>
        </w:rPr>
        <w:t>。</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3.“一带一路”法律服务：</w:t>
      </w:r>
      <w:r>
        <w:rPr>
          <w:rFonts w:ascii="仿宋_GB2312" w:eastAsia="仿宋_GB2312" w:hAnsi="楷体" w:hint="eastAsia"/>
          <w:sz w:val="32"/>
          <w:szCs w:val="32"/>
        </w:rPr>
        <w:t>链接至“一带一路”法律公共服务平台的“动态”“法规”“案例”“文献”板块，点入后分四项子栏目布置。</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4.域外法查明：</w:t>
      </w:r>
      <w:r>
        <w:rPr>
          <w:rFonts w:ascii="仿宋_GB2312" w:eastAsia="仿宋_GB2312" w:hAnsi="楷体" w:hint="eastAsia"/>
          <w:sz w:val="32"/>
          <w:szCs w:val="32"/>
        </w:rPr>
        <w:t>链接至“一带一路”法律公共服务平台的“域外法查明”</w:t>
      </w:r>
      <w:proofErr w:type="gramStart"/>
      <w:r>
        <w:rPr>
          <w:rFonts w:ascii="仿宋_GB2312" w:eastAsia="仿宋_GB2312" w:hAnsi="楷体" w:hint="eastAsia"/>
          <w:sz w:val="32"/>
          <w:szCs w:val="32"/>
        </w:rPr>
        <w:t>版块</w:t>
      </w:r>
      <w:proofErr w:type="gramEnd"/>
      <w:r>
        <w:rPr>
          <w:rFonts w:ascii="仿宋_GB2312" w:eastAsia="仿宋_GB2312" w:hAnsi="楷体" w:hint="eastAsia"/>
          <w:sz w:val="32"/>
          <w:szCs w:val="32"/>
        </w:rPr>
        <w:t>。</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5.网上预约（升级排队叫号）：</w:t>
      </w:r>
      <w:r>
        <w:rPr>
          <w:rFonts w:ascii="仿宋_GB2312" w:eastAsia="仿宋_GB2312" w:hAnsi="楷体" w:hint="eastAsia"/>
          <w:sz w:val="32"/>
          <w:szCs w:val="32"/>
        </w:rPr>
        <w:t>做到网页授权、二</w:t>
      </w:r>
      <w:proofErr w:type="gramStart"/>
      <w:r>
        <w:rPr>
          <w:rFonts w:ascii="仿宋_GB2312" w:eastAsia="仿宋_GB2312" w:hAnsi="楷体" w:hint="eastAsia"/>
          <w:sz w:val="32"/>
          <w:szCs w:val="32"/>
        </w:rPr>
        <w:t>维码技术</w:t>
      </w:r>
      <w:proofErr w:type="gramEnd"/>
      <w:r>
        <w:rPr>
          <w:rFonts w:ascii="仿宋_GB2312" w:eastAsia="仿宋_GB2312" w:hAnsi="楷体" w:hint="eastAsia"/>
          <w:sz w:val="32"/>
          <w:szCs w:val="32"/>
        </w:rPr>
        <w:t>应用、获取用户位置。实现与广东诉讼服务网对接网上预约功能，通过</w:t>
      </w:r>
      <w:proofErr w:type="gramStart"/>
      <w:r>
        <w:rPr>
          <w:rFonts w:ascii="仿宋_GB2312" w:eastAsia="仿宋_GB2312" w:hAnsi="楷体" w:hint="eastAsia"/>
          <w:sz w:val="32"/>
          <w:szCs w:val="32"/>
        </w:rPr>
        <w:t>远程微信预约</w:t>
      </w:r>
      <w:proofErr w:type="gramEnd"/>
      <w:r>
        <w:rPr>
          <w:rFonts w:ascii="仿宋_GB2312" w:eastAsia="仿宋_GB2312" w:hAnsi="楷体" w:hint="eastAsia"/>
          <w:sz w:val="32"/>
          <w:szCs w:val="32"/>
        </w:rPr>
        <w:t>号与现有排队叫号系统对接。当事人可远程进行身份认证，预约待办事项，待办事项可以</w:t>
      </w:r>
      <w:r>
        <w:rPr>
          <w:rFonts w:ascii="仿宋_GB2312" w:eastAsia="仿宋_GB2312" w:hAnsi="楷体" w:hint="eastAsia"/>
          <w:sz w:val="32"/>
          <w:szCs w:val="32"/>
        </w:rPr>
        <w:lastRenderedPageBreak/>
        <w:t>分类预约比如未提交网上立案申请的现场立案、网上立案已审核通过的现场立案等，预约后到场</w:t>
      </w:r>
      <w:proofErr w:type="gramStart"/>
      <w:r>
        <w:rPr>
          <w:rFonts w:ascii="仿宋_GB2312" w:eastAsia="仿宋_GB2312" w:hAnsi="楷体" w:hint="eastAsia"/>
          <w:sz w:val="32"/>
          <w:szCs w:val="32"/>
        </w:rPr>
        <w:t>扫码即</w:t>
      </w:r>
      <w:proofErr w:type="gramEnd"/>
      <w:r>
        <w:rPr>
          <w:rFonts w:ascii="仿宋_GB2312" w:eastAsia="仿宋_GB2312" w:hAnsi="楷体" w:hint="eastAsia"/>
          <w:sz w:val="32"/>
          <w:szCs w:val="32"/>
        </w:rPr>
        <w:t>可获取预约号，实行无声叫号。</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6.诉讼辅导：</w:t>
      </w:r>
      <w:r>
        <w:rPr>
          <w:rFonts w:ascii="仿宋_GB2312" w:eastAsia="仿宋_GB2312" w:hAnsi="楷体" w:hint="eastAsia"/>
          <w:sz w:val="32"/>
          <w:szCs w:val="32"/>
        </w:rPr>
        <w:t>点入后分“诉讼指引”“常用文书”两项子栏目，前者为当事人提供“一次办好”的各类诉讼指引和操作指南、办事流程；后者提供各类相关法律文书的样板。</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7.网上立案：</w:t>
      </w:r>
      <w:r>
        <w:rPr>
          <w:rFonts w:ascii="仿宋_GB2312" w:eastAsia="仿宋_GB2312" w:hAnsi="楷体" w:hint="eastAsia"/>
          <w:sz w:val="32"/>
          <w:szCs w:val="32"/>
        </w:rPr>
        <w:t>当事人、代理人通过网络远程提交电子诉讼材料，法院工作人员后台在线审核并告知受理情况。可链接广东诉讼服务网（网上立案），后续直接对接中国移动微法院，实现掌上立案。</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8.案件信息查询:</w:t>
      </w:r>
      <w:r>
        <w:rPr>
          <w:rFonts w:ascii="仿宋_GB2312" w:eastAsia="仿宋_GB2312" w:hAnsi="楷体" w:hint="eastAsia"/>
          <w:sz w:val="32"/>
          <w:szCs w:val="32"/>
        </w:rPr>
        <w:t>点入后分“在办案件信息”“法院公告查询”两项子栏目。“案件信息查询”可查询审判、执行案件，一是可凭法院出具的受理通知书中的密码进行查询；二是当“法院综合业务系统”中完成立案操作，点击生成受理通知书时，在受理通知书中生成查询案件信息的二维码，当事人使用法院</w:t>
      </w:r>
      <w:proofErr w:type="gramStart"/>
      <w:r>
        <w:rPr>
          <w:rFonts w:ascii="仿宋_GB2312" w:eastAsia="仿宋_GB2312" w:hAnsi="楷体" w:hint="eastAsia"/>
          <w:sz w:val="32"/>
          <w:szCs w:val="32"/>
        </w:rPr>
        <w:t>微信公众</w:t>
      </w:r>
      <w:proofErr w:type="gramEnd"/>
      <w:r>
        <w:rPr>
          <w:rFonts w:ascii="仿宋_GB2312" w:eastAsia="仿宋_GB2312" w:hAnsi="楷体" w:hint="eastAsia"/>
          <w:sz w:val="32"/>
          <w:szCs w:val="32"/>
        </w:rPr>
        <w:t>服务号中的</w:t>
      </w:r>
      <w:proofErr w:type="gramStart"/>
      <w:r>
        <w:rPr>
          <w:rFonts w:ascii="仿宋_GB2312" w:eastAsia="仿宋_GB2312" w:hAnsi="楷体" w:hint="eastAsia"/>
          <w:sz w:val="32"/>
          <w:szCs w:val="32"/>
        </w:rPr>
        <w:t>二维码扫描</w:t>
      </w:r>
      <w:proofErr w:type="gramEnd"/>
      <w:r>
        <w:rPr>
          <w:rFonts w:ascii="仿宋_GB2312" w:eastAsia="仿宋_GB2312" w:hAnsi="楷体" w:hint="eastAsia"/>
          <w:sz w:val="32"/>
          <w:szCs w:val="32"/>
        </w:rPr>
        <w:t>功能，扫描受理通知书上的二</w:t>
      </w:r>
      <w:proofErr w:type="gramStart"/>
      <w:r>
        <w:rPr>
          <w:rFonts w:ascii="仿宋_GB2312" w:eastAsia="仿宋_GB2312" w:hAnsi="楷体" w:hint="eastAsia"/>
          <w:sz w:val="32"/>
          <w:szCs w:val="32"/>
        </w:rPr>
        <w:t>维码可</w:t>
      </w:r>
      <w:proofErr w:type="gramEnd"/>
      <w:r>
        <w:rPr>
          <w:rFonts w:ascii="仿宋_GB2312" w:eastAsia="仿宋_GB2312" w:hAnsi="楷体" w:hint="eastAsia"/>
          <w:sz w:val="32"/>
          <w:szCs w:val="32"/>
        </w:rPr>
        <w:t>查看案件的流程信息。“法院公告查询”可自动获取广东诉讼服务网前海法院的数据信息，向当事人展示当日案件的开庭公告、送达公告、拍卖公告等公示信息。</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9.庭审直播：</w:t>
      </w:r>
      <w:r>
        <w:rPr>
          <w:rFonts w:ascii="仿宋_GB2312" w:eastAsia="仿宋_GB2312" w:hAnsi="楷体" w:hint="eastAsia"/>
          <w:sz w:val="32"/>
          <w:szCs w:val="32"/>
        </w:rPr>
        <w:t>链接中国庭审直播网前海法院庭审直播。</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lastRenderedPageBreak/>
        <w:t>10.网上阅卷：</w:t>
      </w:r>
      <w:r>
        <w:rPr>
          <w:rFonts w:ascii="仿宋_GB2312" w:eastAsia="仿宋_GB2312" w:hAnsi="楷体" w:hint="eastAsia"/>
          <w:sz w:val="32"/>
          <w:szCs w:val="32"/>
        </w:rPr>
        <w:t>与广东诉讼服务网对接，当事人直接进行网上申请阅卷。</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11.裁判文书公开：</w:t>
      </w:r>
      <w:r>
        <w:rPr>
          <w:rFonts w:ascii="仿宋_GB2312" w:eastAsia="仿宋_GB2312" w:hAnsi="楷体" w:hint="eastAsia"/>
          <w:sz w:val="32"/>
          <w:szCs w:val="32"/>
        </w:rPr>
        <w:t>自动获取最高人民法院裁判</w:t>
      </w:r>
      <w:proofErr w:type="gramStart"/>
      <w:r>
        <w:rPr>
          <w:rFonts w:ascii="仿宋_GB2312" w:eastAsia="仿宋_GB2312" w:hAnsi="楷体" w:hint="eastAsia"/>
          <w:sz w:val="32"/>
          <w:szCs w:val="32"/>
        </w:rPr>
        <w:t>文书网数据</w:t>
      </w:r>
      <w:proofErr w:type="gramEnd"/>
      <w:r>
        <w:rPr>
          <w:rFonts w:ascii="仿宋_GB2312" w:eastAsia="仿宋_GB2312" w:hAnsi="楷体" w:hint="eastAsia"/>
          <w:sz w:val="32"/>
          <w:szCs w:val="32"/>
        </w:rPr>
        <w:t>供当事人查阅。</w:t>
      </w:r>
    </w:p>
    <w:p>
      <w:pPr>
        <w:pStyle w:val="a3"/>
        <w:spacing w:line="660" w:lineRule="exact"/>
        <w:ind w:firstLine="643"/>
        <w:rPr>
          <w:rFonts w:ascii="仿宋_GB2312" w:eastAsia="仿宋_GB2312" w:hAnsi="楷体"/>
          <w:sz w:val="32"/>
          <w:szCs w:val="32"/>
        </w:rPr>
      </w:pPr>
      <w:r>
        <w:rPr>
          <w:rFonts w:ascii="仿宋_GB2312" w:eastAsia="仿宋_GB2312" w:hAnsi="楷体" w:hint="eastAsia"/>
          <w:b/>
          <w:sz w:val="32"/>
          <w:szCs w:val="32"/>
        </w:rPr>
        <w:t>12.预约法官：</w:t>
      </w:r>
      <w:r>
        <w:rPr>
          <w:rFonts w:ascii="仿宋_GB2312" w:eastAsia="仿宋_GB2312" w:hAnsi="楷体" w:hint="eastAsia"/>
          <w:sz w:val="32"/>
          <w:szCs w:val="32"/>
        </w:rPr>
        <w:t>设置法官、法官助理列表，当事人可通过关键字搜索，查找所涉案件的承办法官、法官助理。点击【相关案件】</w:t>
      </w:r>
      <w:proofErr w:type="gramStart"/>
      <w:r>
        <w:rPr>
          <w:rFonts w:ascii="仿宋_GB2312" w:eastAsia="仿宋_GB2312" w:hAnsi="楷体" w:hint="eastAsia"/>
          <w:sz w:val="32"/>
          <w:szCs w:val="32"/>
        </w:rPr>
        <w:t>查询案</w:t>
      </w:r>
      <w:proofErr w:type="gramEnd"/>
      <w:r>
        <w:rPr>
          <w:rFonts w:ascii="仿宋_GB2312" w:eastAsia="仿宋_GB2312" w:hAnsi="楷体" w:hint="eastAsia"/>
          <w:sz w:val="32"/>
          <w:szCs w:val="32"/>
        </w:rPr>
        <w:t>号、经办法院、立案日期、标的金额、案件进度、案由、上诉人、被上诉人、合议庭成员、承办法官、承办助理、书记员等案件信息，可对就所涉案件给承办法官、法官助理留言预约。</w:t>
      </w:r>
    </w:p>
    <w:p>
      <w:pPr>
        <w:pStyle w:val="a3"/>
        <w:spacing w:line="660" w:lineRule="exact"/>
        <w:ind w:firstLine="640"/>
        <w:rPr>
          <w:rFonts w:ascii="楷体_GB2312" w:eastAsia="楷体_GB2312" w:hAnsi="楷体"/>
          <w:sz w:val="32"/>
          <w:szCs w:val="32"/>
        </w:rPr>
      </w:pPr>
      <w:r>
        <w:rPr>
          <w:rFonts w:ascii="楷体_GB2312" w:eastAsia="楷体_GB2312" w:hAnsi="楷体" w:hint="eastAsia"/>
          <w:sz w:val="32"/>
          <w:szCs w:val="32"/>
        </w:rPr>
        <w:t>（三）项目其他服务要求</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1.</w:t>
      </w:r>
      <w:proofErr w:type="gramStart"/>
      <w:r>
        <w:rPr>
          <w:rFonts w:ascii="仿宋_GB2312" w:eastAsia="仿宋_GB2312" w:hAnsi="楷体" w:hint="eastAsia"/>
          <w:sz w:val="32"/>
          <w:szCs w:val="32"/>
        </w:rPr>
        <w:t>微信公众</w:t>
      </w:r>
      <w:proofErr w:type="gramEnd"/>
      <w:r>
        <w:rPr>
          <w:rFonts w:ascii="仿宋_GB2312" w:eastAsia="仿宋_GB2312" w:hAnsi="楷体" w:hint="eastAsia"/>
          <w:sz w:val="32"/>
          <w:szCs w:val="32"/>
        </w:rPr>
        <w:t>服务号页面展示、栏目名称等相对固定的信息内容，提供中文简体、中文繁体、英文共计三种文字版本，供当事人按需要点击切换使用。</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2.</w:t>
      </w:r>
      <w:proofErr w:type="gramStart"/>
      <w:r>
        <w:rPr>
          <w:rFonts w:ascii="仿宋_GB2312" w:eastAsia="仿宋_GB2312" w:hAnsi="楷体" w:hint="eastAsia"/>
          <w:sz w:val="32"/>
          <w:szCs w:val="32"/>
        </w:rPr>
        <w:t>微信公众服务号上述</w:t>
      </w:r>
      <w:proofErr w:type="gramEnd"/>
      <w:r>
        <w:rPr>
          <w:rFonts w:ascii="仿宋_GB2312" w:eastAsia="仿宋_GB2312" w:hAnsi="楷体" w:hint="eastAsia"/>
          <w:sz w:val="32"/>
          <w:szCs w:val="32"/>
        </w:rPr>
        <w:t>栏目需求为初步服务内容，栏目后续可能增加、减少、变更，项目供应商在免费运维服务期内须无偿提供技术支持。</w:t>
      </w:r>
    </w:p>
    <w:p>
      <w:pPr>
        <w:pStyle w:val="a3"/>
        <w:spacing w:line="660" w:lineRule="exact"/>
        <w:ind w:firstLine="640"/>
        <w:rPr>
          <w:rFonts w:ascii="仿宋_GB2312" w:eastAsia="仿宋_GB2312" w:hAnsi="楷体"/>
          <w:sz w:val="32"/>
          <w:szCs w:val="32"/>
        </w:rPr>
      </w:pPr>
      <w:r>
        <w:rPr>
          <w:rFonts w:ascii="仿宋_GB2312" w:eastAsia="仿宋_GB2312" w:hAnsi="楷体" w:hint="eastAsia"/>
          <w:sz w:val="32"/>
          <w:szCs w:val="32"/>
        </w:rPr>
        <w:t>3.</w:t>
      </w:r>
      <w:r>
        <w:rPr>
          <w:rFonts w:ascii="仿宋_GB2312" w:eastAsia="仿宋_GB2312" w:hAnsi="仿宋" w:cs="仿宋" w:hint="eastAsia"/>
          <w:sz w:val="32"/>
          <w:szCs w:val="32"/>
        </w:rPr>
        <w:t>因与中国移动微法院、广东诉讼服务网等上级法院信息平台对接的，</w:t>
      </w:r>
      <w:r>
        <w:rPr>
          <w:rFonts w:ascii="仿宋_GB2312" w:eastAsia="仿宋_GB2312" w:hAnsi="楷体" w:hint="eastAsia"/>
          <w:sz w:val="32"/>
          <w:szCs w:val="32"/>
        </w:rPr>
        <w:t>项目供应商在免费运维服务期内须无偿提供技术支持。</w:t>
      </w:r>
    </w:p>
    <w:p>
      <w:pPr>
        <w:spacing w:line="580" w:lineRule="exact"/>
        <w:ind w:firstLineChars="200" w:firstLine="640"/>
        <w:rPr>
          <w:rFonts w:ascii="黑体" w:eastAsia="黑体" w:hAnsi="黑体" w:cs="仿宋"/>
          <w:color w:val="000000"/>
          <w:sz w:val="32"/>
          <w:szCs w:val="32"/>
        </w:rPr>
      </w:pPr>
      <w:r>
        <w:rPr>
          <w:rFonts w:ascii="黑体" w:eastAsia="黑体" w:hAnsi="黑体" w:cs="仿宋" w:hint="eastAsia"/>
          <w:color w:val="000000"/>
          <w:sz w:val="32"/>
          <w:szCs w:val="32"/>
        </w:rPr>
        <w:t>三、供应商资格要求</w:t>
      </w:r>
    </w:p>
    <w:p>
      <w:pPr>
        <w:spacing w:line="580" w:lineRule="exact"/>
        <w:ind w:firstLineChars="200" w:firstLine="640"/>
        <w:rPr>
          <w:rFonts w:ascii="仿宋_GB2312" w:eastAsia="仿宋_GB2312" w:hAnsi="楷体"/>
          <w:sz w:val="32"/>
          <w:szCs w:val="32"/>
        </w:rPr>
      </w:pPr>
      <w:r>
        <w:rPr>
          <w:rFonts w:ascii="仿宋_GB2312" w:eastAsia="仿宋_GB2312" w:hAnsi="楷体" w:hint="eastAsia"/>
          <w:sz w:val="32"/>
          <w:szCs w:val="32"/>
        </w:rPr>
        <w:lastRenderedPageBreak/>
        <w:t>（一）在中华人民共和国境内注册；</w:t>
      </w:r>
    </w:p>
    <w:p>
      <w:pPr>
        <w:spacing w:line="580" w:lineRule="exact"/>
        <w:ind w:firstLineChars="200" w:firstLine="640"/>
        <w:rPr>
          <w:rFonts w:ascii="仿宋_GB2312" w:eastAsia="仿宋_GB2312" w:hAnsi="楷体"/>
          <w:sz w:val="32"/>
          <w:szCs w:val="32"/>
        </w:rPr>
      </w:pPr>
      <w:r>
        <w:rPr>
          <w:rFonts w:ascii="仿宋_GB2312" w:eastAsia="仿宋_GB2312" w:hAnsi="楷体" w:hint="eastAsia"/>
          <w:sz w:val="32"/>
          <w:szCs w:val="32"/>
        </w:rPr>
        <w:t>（二）具有独立承担民事责任的能力；</w:t>
      </w:r>
    </w:p>
    <w:p>
      <w:pPr>
        <w:spacing w:line="580" w:lineRule="exact"/>
        <w:ind w:firstLineChars="200" w:firstLine="640"/>
        <w:rPr>
          <w:rFonts w:ascii="仿宋_GB2312" w:eastAsia="仿宋_GB2312" w:hAnsi="楷体"/>
          <w:sz w:val="32"/>
          <w:szCs w:val="32"/>
        </w:rPr>
      </w:pPr>
      <w:r>
        <w:rPr>
          <w:rFonts w:ascii="仿宋_GB2312" w:eastAsia="仿宋_GB2312" w:hAnsi="楷体" w:hint="eastAsia"/>
          <w:sz w:val="32"/>
          <w:szCs w:val="32"/>
        </w:rPr>
        <w:t>（三）有良好的商业信誉和健全的财务会计制度；</w:t>
      </w:r>
    </w:p>
    <w:p>
      <w:pPr>
        <w:spacing w:line="580" w:lineRule="exact"/>
        <w:ind w:firstLineChars="200" w:firstLine="640"/>
        <w:rPr>
          <w:rFonts w:ascii="仿宋_GB2312" w:eastAsia="仿宋_GB2312" w:hAnsi="楷体"/>
          <w:sz w:val="32"/>
          <w:szCs w:val="32"/>
        </w:rPr>
      </w:pPr>
      <w:r>
        <w:rPr>
          <w:rFonts w:ascii="仿宋_GB2312" w:eastAsia="仿宋_GB2312" w:hAnsi="楷体" w:hint="eastAsia"/>
          <w:sz w:val="32"/>
          <w:szCs w:val="32"/>
        </w:rPr>
        <w:t>（四）有依法缴纳税收和社会保障资金的良好记录；</w:t>
      </w:r>
    </w:p>
    <w:p>
      <w:pPr>
        <w:spacing w:line="580" w:lineRule="exact"/>
        <w:ind w:firstLineChars="200" w:firstLine="640"/>
        <w:rPr>
          <w:rFonts w:ascii="仿宋_GB2312" w:eastAsia="仿宋_GB2312" w:hAnsi="楷体"/>
          <w:sz w:val="32"/>
          <w:szCs w:val="32"/>
        </w:rPr>
      </w:pPr>
      <w:r>
        <w:rPr>
          <w:rFonts w:ascii="仿宋_GB2312" w:eastAsia="仿宋_GB2312" w:hAnsi="楷体" w:hint="eastAsia"/>
          <w:sz w:val="32"/>
          <w:szCs w:val="32"/>
        </w:rPr>
        <w:t>（五）最近三年没有重大违法记录。</w:t>
      </w:r>
    </w:p>
    <w:p>
      <w:pPr>
        <w:spacing w:line="580" w:lineRule="exact"/>
        <w:ind w:firstLineChars="200" w:firstLine="640"/>
        <w:rPr>
          <w:rFonts w:ascii="黑体" w:eastAsia="黑体" w:hAnsi="黑体" w:cs="仿宋"/>
          <w:color w:val="000000"/>
          <w:sz w:val="32"/>
          <w:szCs w:val="32"/>
        </w:rPr>
      </w:pPr>
      <w:r>
        <w:rPr>
          <w:rFonts w:ascii="黑体" w:eastAsia="黑体" w:hAnsi="黑体" w:cs="仿宋" w:hint="eastAsia"/>
          <w:color w:val="000000"/>
          <w:sz w:val="32"/>
          <w:szCs w:val="32"/>
        </w:rPr>
        <w:t>四、评标定标方法</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本项目供应商由院采购小组组织讨论推荐并报院长办公会决定。</w:t>
      </w:r>
    </w:p>
    <w:p>
      <w:pPr>
        <w:spacing w:line="580" w:lineRule="exact"/>
        <w:ind w:firstLineChars="200" w:firstLine="640"/>
        <w:rPr>
          <w:rFonts w:ascii="黑体" w:eastAsia="黑体" w:hAnsi="黑体" w:cs="仿宋"/>
          <w:color w:val="000000"/>
          <w:sz w:val="32"/>
          <w:szCs w:val="32"/>
        </w:rPr>
      </w:pPr>
      <w:r>
        <w:rPr>
          <w:rFonts w:ascii="黑体" w:eastAsia="黑体" w:hAnsi="黑体" w:cs="仿宋" w:hint="eastAsia"/>
          <w:color w:val="000000"/>
          <w:sz w:val="32"/>
          <w:szCs w:val="32"/>
        </w:rPr>
        <w:t>五、商务需求</w:t>
      </w:r>
    </w:p>
    <w:p>
      <w:pPr>
        <w:spacing w:line="580" w:lineRule="exact"/>
        <w:ind w:firstLineChars="200" w:firstLine="640"/>
        <w:rPr>
          <w:rFonts w:ascii="仿宋_GB2312" w:eastAsia="仿宋_GB2312" w:hAnsi="仿宋" w:cs="仿宋"/>
          <w:sz w:val="32"/>
          <w:szCs w:val="32"/>
        </w:rPr>
      </w:pPr>
      <w:r>
        <w:rPr>
          <w:rFonts w:ascii="楷体_GB2312" w:eastAsia="楷体_GB2312" w:hAnsi="楷体" w:hint="eastAsia"/>
          <w:sz w:val="32"/>
          <w:szCs w:val="32"/>
        </w:rPr>
        <w:t>（一）建设工期：</w:t>
      </w:r>
      <w:r>
        <w:rPr>
          <w:rFonts w:ascii="仿宋_GB2312" w:eastAsia="仿宋_GB2312" w:hAnsi="楷体" w:hint="eastAsia"/>
          <w:sz w:val="32"/>
          <w:szCs w:val="32"/>
        </w:rPr>
        <w:t>30天</w:t>
      </w:r>
      <w:r>
        <w:rPr>
          <w:rFonts w:ascii="仿宋_GB2312" w:eastAsia="仿宋_GB2312" w:hAnsi="仿宋" w:cs="仿宋" w:hint="eastAsia"/>
          <w:sz w:val="32"/>
          <w:szCs w:val="32"/>
        </w:rPr>
        <w:t>，自双方签订合同之日起算。</w:t>
      </w:r>
    </w:p>
    <w:p>
      <w:pPr>
        <w:spacing w:line="580" w:lineRule="exact"/>
        <w:ind w:firstLineChars="200" w:firstLine="640"/>
        <w:rPr>
          <w:rFonts w:ascii="仿宋_GB2312" w:eastAsia="仿宋_GB2312" w:hAnsi="仿宋" w:cs="仿宋"/>
          <w:sz w:val="32"/>
          <w:szCs w:val="32"/>
        </w:rPr>
      </w:pPr>
      <w:r>
        <w:rPr>
          <w:rFonts w:ascii="楷体_GB2312" w:eastAsia="楷体_GB2312" w:hAnsi="楷体" w:hint="eastAsia"/>
          <w:sz w:val="32"/>
          <w:szCs w:val="32"/>
        </w:rPr>
        <w:t>（二）服务地点：</w:t>
      </w:r>
      <w:r>
        <w:rPr>
          <w:rFonts w:ascii="仿宋_GB2312" w:eastAsia="仿宋_GB2312" w:hAnsi="仿宋" w:cs="仿宋" w:hint="eastAsia"/>
          <w:sz w:val="32"/>
          <w:szCs w:val="32"/>
        </w:rPr>
        <w:t>深圳前海合作区人民法院</w:t>
      </w:r>
    </w:p>
    <w:p>
      <w:pPr>
        <w:spacing w:line="580" w:lineRule="exact"/>
        <w:ind w:firstLineChars="200" w:firstLine="640"/>
        <w:rPr>
          <w:rFonts w:ascii="楷体_GB2312" w:eastAsia="楷体_GB2312" w:hAnsi="楷体"/>
          <w:sz w:val="32"/>
          <w:szCs w:val="32"/>
        </w:rPr>
      </w:pPr>
      <w:r>
        <w:rPr>
          <w:rFonts w:ascii="楷体_GB2312" w:eastAsia="楷体_GB2312" w:hAnsi="楷体" w:hint="eastAsia"/>
          <w:sz w:val="32"/>
          <w:szCs w:val="32"/>
        </w:rPr>
        <w:t>（三）报价要求：</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1.本项目服务费采用包干制，应包括服务成本、法定税费和企业的利润。由投标供应商根据采购文件所提供的资料自行测算投标报价；一经中标，报价总价作为中标供应商与采购人</w:t>
      </w:r>
      <w:proofErr w:type="gramStart"/>
      <w:r>
        <w:rPr>
          <w:rFonts w:ascii="仿宋_GB2312" w:eastAsia="仿宋_GB2312" w:hAnsi="仿宋" w:hint="eastAsia"/>
          <w:sz w:val="32"/>
          <w:szCs w:val="32"/>
        </w:rPr>
        <w:t>签定</w:t>
      </w:r>
      <w:proofErr w:type="gramEnd"/>
      <w:r>
        <w:rPr>
          <w:rFonts w:ascii="仿宋_GB2312" w:eastAsia="仿宋_GB2312" w:hAnsi="仿宋" w:hint="eastAsia"/>
          <w:sz w:val="32"/>
          <w:szCs w:val="32"/>
        </w:rPr>
        <w:t>的合同金额，合同期限内不作调整。</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2.投标供应商应当根据本企业的成本自行决定报价，但不得以低于其企业成本的报价投标。</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3.投标供应商的报价不得超过项目预算金额。</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4.投标供应商的报价，应当是本项目采购范围和采购文件及合同条款上所列的各项内容中所述的全部，不得以任何理由予以重复。</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5.除非采购人通过修改采购文件予以更正，否则，投标供应商应毫无例外地按响应文件所列的清单</w:t>
      </w:r>
      <w:proofErr w:type="gramStart"/>
      <w:r>
        <w:rPr>
          <w:rFonts w:ascii="仿宋_GB2312" w:eastAsia="仿宋_GB2312" w:hAnsi="仿宋" w:hint="eastAsia"/>
          <w:sz w:val="32"/>
          <w:szCs w:val="32"/>
        </w:rPr>
        <w:t>中项目</w:t>
      </w:r>
      <w:proofErr w:type="gramEnd"/>
      <w:r>
        <w:rPr>
          <w:rFonts w:ascii="仿宋_GB2312" w:eastAsia="仿宋_GB2312" w:hAnsi="仿宋" w:hint="eastAsia"/>
          <w:sz w:val="32"/>
          <w:szCs w:val="32"/>
        </w:rPr>
        <w:t>和数量</w:t>
      </w:r>
      <w:r>
        <w:rPr>
          <w:rFonts w:ascii="仿宋_GB2312" w:eastAsia="仿宋_GB2312" w:hAnsi="仿宋" w:hint="eastAsia"/>
          <w:sz w:val="32"/>
          <w:szCs w:val="32"/>
        </w:rPr>
        <w:lastRenderedPageBreak/>
        <w:t>填报综合单价和合价。投标供应商未</w:t>
      </w:r>
      <w:proofErr w:type="gramStart"/>
      <w:r>
        <w:rPr>
          <w:rFonts w:ascii="仿宋_GB2312" w:eastAsia="仿宋_GB2312" w:hAnsi="仿宋" w:hint="eastAsia"/>
          <w:sz w:val="32"/>
          <w:szCs w:val="32"/>
        </w:rPr>
        <w:t>填综合</w:t>
      </w:r>
      <w:proofErr w:type="gramEnd"/>
      <w:r>
        <w:rPr>
          <w:rFonts w:ascii="仿宋_GB2312" w:eastAsia="仿宋_GB2312" w:hAnsi="仿宋" w:hint="eastAsia"/>
          <w:sz w:val="32"/>
          <w:szCs w:val="32"/>
        </w:rPr>
        <w:t>单价或合价的项目，在实施后，将不得以支付，并视作该项费用已包括在其它有价款的综合单价或合价内。</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6.投标供应商应先到项目地点踏勘以充分了解项目的位置、情况、道路及任何其它足以影响投标报价的情况，任何因忽视或误解项目情况而导致的索赔或服务期限延长申请将不获批准。</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7.投标供应商不得期望通过索赔等方式获取补偿，否则，除可能遭到拒绝外，还可能将被作为不良行为记录在案，并可能影响其以后参加政府采购的项目投标。各投标供应商在报价时，应充分考虑报价的风险。</w:t>
      </w:r>
    </w:p>
    <w:p>
      <w:pPr>
        <w:spacing w:line="580" w:lineRule="exact"/>
        <w:ind w:firstLineChars="200" w:firstLine="640"/>
        <w:rPr>
          <w:rFonts w:ascii="仿宋_GB2312" w:eastAsia="仿宋_GB2312" w:hAnsi="仿宋"/>
          <w:sz w:val="32"/>
          <w:szCs w:val="32"/>
        </w:rPr>
      </w:pPr>
      <w:r>
        <w:rPr>
          <w:rFonts w:ascii="楷体_GB2312" w:eastAsia="楷体_GB2312" w:hAnsi="楷体" w:hint="eastAsia"/>
          <w:sz w:val="32"/>
          <w:szCs w:val="32"/>
        </w:rPr>
        <w:t>（四）售后服务需求：</w:t>
      </w:r>
      <w:r>
        <w:rPr>
          <w:rFonts w:ascii="仿宋_GB2312" w:eastAsia="仿宋_GB2312" w:hAnsi="仿宋" w:hint="eastAsia"/>
          <w:sz w:val="32"/>
          <w:szCs w:val="32"/>
        </w:rPr>
        <w:t>免费运维服务期1年，</w:t>
      </w:r>
      <w:proofErr w:type="gramStart"/>
      <w:r>
        <w:rPr>
          <w:rFonts w:ascii="仿宋_GB2312" w:eastAsia="仿宋_GB2312" w:hAnsi="仿宋" w:hint="eastAsia"/>
          <w:sz w:val="32"/>
          <w:szCs w:val="32"/>
        </w:rPr>
        <w:t>自项目</w:t>
      </w:r>
      <w:proofErr w:type="gramEnd"/>
      <w:r>
        <w:rPr>
          <w:rFonts w:ascii="仿宋_GB2312" w:eastAsia="仿宋_GB2312" w:hAnsi="仿宋" w:hint="eastAsia"/>
          <w:sz w:val="32"/>
          <w:szCs w:val="32"/>
        </w:rPr>
        <w:t>验收合格之日起算。</w:t>
      </w:r>
    </w:p>
    <w:p>
      <w:pPr>
        <w:spacing w:line="580" w:lineRule="exact"/>
        <w:ind w:firstLineChars="200" w:firstLine="640"/>
        <w:rPr>
          <w:rFonts w:ascii="仿宋_GB2312" w:eastAsia="仿宋_GB2312" w:hAnsi="仿宋"/>
          <w:sz w:val="32"/>
          <w:szCs w:val="32"/>
        </w:rPr>
      </w:pPr>
      <w:r>
        <w:rPr>
          <w:rFonts w:ascii="楷体_GB2312" w:eastAsia="楷体_GB2312" w:hAnsi="楷体" w:hint="eastAsia"/>
          <w:sz w:val="32"/>
          <w:szCs w:val="32"/>
        </w:rPr>
        <w:t>（五）付款方式：</w:t>
      </w:r>
      <w:r>
        <w:rPr>
          <w:rFonts w:ascii="仿宋_GB2312" w:eastAsia="仿宋_GB2312" w:hAnsi="仿宋" w:hint="eastAsia"/>
          <w:sz w:val="32"/>
          <w:szCs w:val="32"/>
        </w:rPr>
        <w:t>1.合同签订后且收到中标单位开具的国家税务发票之日起1个月内，采购人支付首付款即合同金额的50%；</w:t>
      </w:r>
    </w:p>
    <w:p>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2.项目全部完成且项目经验收后合格的1个月内，支付合同金额的50%。</w:t>
      </w:r>
    </w:p>
    <w:p>
      <w:pPr>
        <w:spacing w:line="580" w:lineRule="exact"/>
        <w:ind w:firstLineChars="200" w:firstLine="640"/>
        <w:rPr>
          <w:rFonts w:ascii="仿宋_GB2312" w:eastAsia="仿宋_GB2312" w:hAnsi="仿宋" w:cs="仿宋"/>
          <w:sz w:val="32"/>
          <w:szCs w:val="32"/>
        </w:rPr>
      </w:pPr>
      <w:r>
        <w:rPr>
          <w:rFonts w:ascii="楷体_GB2312" w:eastAsia="楷体_GB2312" w:hAnsi="楷体" w:hint="eastAsia"/>
          <w:sz w:val="32"/>
          <w:szCs w:val="32"/>
        </w:rPr>
        <w:t>（六）履约担保金：</w:t>
      </w:r>
      <w:r>
        <w:rPr>
          <w:rFonts w:ascii="仿宋_GB2312" w:eastAsia="仿宋_GB2312" w:hAnsi="仿宋" w:hint="eastAsia"/>
          <w:sz w:val="32"/>
          <w:szCs w:val="32"/>
        </w:rPr>
        <w:t>无。</w:t>
      </w:r>
    </w:p>
    <w:p>
      <w:pPr>
        <w:spacing w:line="580" w:lineRule="exact"/>
        <w:ind w:firstLineChars="200" w:firstLine="640"/>
        <w:rPr>
          <w:rFonts w:ascii="仿宋_GB2312" w:eastAsia="仿宋_GB2312" w:hAnsi="仿宋"/>
          <w:sz w:val="32"/>
          <w:szCs w:val="32"/>
        </w:rPr>
      </w:pPr>
      <w:r>
        <w:rPr>
          <w:rFonts w:ascii="楷体_GB2312" w:eastAsia="楷体_GB2312" w:hAnsi="楷体" w:hint="eastAsia"/>
          <w:sz w:val="32"/>
          <w:szCs w:val="32"/>
        </w:rPr>
        <w:t>（七）违约责任：</w:t>
      </w:r>
      <w:r>
        <w:rPr>
          <w:rFonts w:ascii="仿宋_GB2312" w:eastAsia="仿宋_GB2312" w:hAnsi="仿宋" w:hint="eastAsia"/>
          <w:sz w:val="32"/>
          <w:szCs w:val="32"/>
        </w:rPr>
        <w:t>中标单位不履行合同义务或履行合同义务不符合约定时，采购人有权中止并解除合同，中标单位应立即全额退还采购人所付款项，并支付合同总金额20%的违约金或赔偿采购人的损失，中标单位应承</w:t>
      </w:r>
      <w:proofErr w:type="gramStart"/>
      <w:r>
        <w:rPr>
          <w:rFonts w:ascii="仿宋_GB2312" w:eastAsia="仿宋_GB2312" w:hAnsi="仿宋" w:hint="eastAsia"/>
          <w:sz w:val="32"/>
          <w:szCs w:val="32"/>
        </w:rPr>
        <w:t>担有关</w:t>
      </w:r>
      <w:proofErr w:type="gramEnd"/>
      <w:r>
        <w:rPr>
          <w:rFonts w:ascii="仿宋_GB2312" w:eastAsia="仿宋_GB2312" w:hAnsi="仿宋" w:hint="eastAsia"/>
          <w:sz w:val="32"/>
          <w:szCs w:val="32"/>
        </w:rPr>
        <w:t>法律责任。</w:t>
      </w:r>
    </w:p>
    <w:p>
      <w:pPr>
        <w:spacing w:line="580" w:lineRule="exact"/>
        <w:ind w:firstLineChars="200" w:firstLine="640"/>
        <w:rPr>
          <w:rFonts w:ascii="仿宋_GB2312" w:eastAsia="仿宋_GB2312" w:hAnsi="仿宋" w:cs="仿宋"/>
          <w:sz w:val="32"/>
          <w:szCs w:val="32"/>
        </w:rPr>
      </w:pPr>
      <w:r>
        <w:rPr>
          <w:rFonts w:ascii="楷体_GB2312" w:eastAsia="楷体_GB2312" w:hAnsi="楷体" w:hint="eastAsia"/>
          <w:sz w:val="32"/>
          <w:szCs w:val="32"/>
        </w:rPr>
        <w:t>（八）其他：</w:t>
      </w:r>
      <w:r>
        <w:rPr>
          <w:rFonts w:ascii="仿宋_GB2312" w:eastAsia="仿宋_GB2312" w:hAnsi="仿宋" w:cs="仿宋" w:hint="eastAsia"/>
          <w:sz w:val="32"/>
          <w:szCs w:val="32"/>
        </w:rPr>
        <w:t>无。</w:t>
      </w:r>
    </w:p>
    <w:sectPr>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366141"/>
      <w:docPartObj>
        <w:docPartGallery w:val="Page Numbers (Bottom of Page)"/>
        <w:docPartUnique/>
      </w:docPartObj>
    </w:sdtPr>
    <w:sdtContent>
      <w:p>
        <w:pPr>
          <w:pStyle w:val="a7"/>
          <w:jc w:val="center"/>
        </w:pPr>
        <w:r>
          <w:rPr>
            <w:rFonts w:hint="eastAsia"/>
          </w:rPr>
          <w:t>（第</w:t>
        </w:r>
        <w:r>
          <w:fldChar w:fldCharType="begin"/>
        </w:r>
        <w:r>
          <w:instrText>PAGE   \* MERGEFORMAT</w:instrText>
        </w:r>
        <w:r>
          <w:fldChar w:fldCharType="separate"/>
        </w:r>
        <w:r>
          <w:rPr>
            <w:noProof/>
            <w:lang w:val="zh-CN"/>
          </w:rPr>
          <w:t>1</w:t>
        </w:r>
        <w:r>
          <w:fldChar w:fldCharType="end"/>
        </w:r>
        <w:r>
          <w:rPr>
            <w:rFonts w:hint="eastAsia"/>
          </w:rPr>
          <w:t>页</w:t>
        </w:r>
        <w:r>
          <w:rPr>
            <w:rFonts w:hint="eastAsia"/>
          </w:rPr>
          <w:t xml:space="preserve"> </w:t>
        </w:r>
        <w:r>
          <w:rPr>
            <w:rFonts w:hint="eastAsia"/>
          </w:rPr>
          <w:t>共</w:t>
        </w:r>
        <w:r>
          <w:rPr>
            <w:rFonts w:hint="eastAsia"/>
          </w:rPr>
          <w:t>7</w:t>
        </w:r>
        <w:r>
          <w:rPr>
            <w:rFonts w:hint="eastAsia"/>
          </w:rPr>
          <w:t>页）</w:t>
        </w:r>
      </w:p>
    </w:sdtContent>
  </w:sdt>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rPr>
  </w:style>
  <w:style w:type="paragraph" w:styleId="2">
    <w:name w:val="heading 2"/>
    <w:basedOn w:val="3"/>
    <w:next w:val="4"/>
    <w:link w:val="2Char"/>
    <w:qFormat/>
    <w:pPr>
      <w:adjustRightInd w:val="0"/>
      <w:spacing w:line="240" w:lineRule="auto"/>
      <w:jc w:val="center"/>
      <w:textAlignment w:val="baseline"/>
      <w:outlineLvl w:val="1"/>
    </w:pPr>
    <w:rPr>
      <w:rFonts w:ascii="宋体" w:hAnsi="宋体"/>
      <w:bCs w:val="0"/>
      <w:kern w:val="0"/>
      <w:sz w:val="24"/>
      <w:szCs w:val="20"/>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Pr>
      <w:rFonts w:ascii="宋体" w:eastAsia="宋体" w:hAnsi="宋体" w:cs="Times New Roman"/>
      <w:b/>
      <w:kern w:val="0"/>
      <w:sz w:val="24"/>
      <w:szCs w:val="20"/>
    </w:rPr>
  </w:style>
  <w:style w:type="character" w:customStyle="1" w:styleId="4Char">
    <w:name w:val="标题 4 Char"/>
    <w:basedOn w:val="a0"/>
    <w:link w:val="4"/>
    <w:uiPriority w:val="9"/>
    <w:rPr>
      <w:rFonts w:ascii="Cambria" w:eastAsia="宋体" w:hAnsi="Cambria" w:cs="Times New Roman"/>
      <w:b/>
      <w:bCs/>
      <w:sz w:val="28"/>
      <w:szCs w:val="28"/>
    </w:rPr>
  </w:style>
  <w:style w:type="character" w:customStyle="1" w:styleId="3Char">
    <w:name w:val="标题 3 Char"/>
    <w:basedOn w:val="a0"/>
    <w:link w:val="3"/>
    <w:uiPriority w:val="9"/>
    <w:semiHidden/>
    <w:rPr>
      <w:rFonts w:ascii="Calibri" w:eastAsia="宋体" w:hAnsi="Calibri" w:cs="Times New Roman"/>
      <w:b/>
      <w:bCs/>
      <w:sz w:val="32"/>
      <w:szCs w:val="32"/>
    </w:rPr>
  </w:style>
  <w:style w:type="paragraph" w:styleId="a3">
    <w:name w:val="List Paragraph"/>
    <w:basedOn w:val="a"/>
    <w:link w:val="Char"/>
    <w:uiPriority w:val="34"/>
    <w:qFormat/>
    <w:pPr>
      <w:ind w:firstLineChars="200" w:firstLine="420"/>
    </w:pPr>
  </w:style>
  <w:style w:type="table" w:styleId="a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列出段落 Char"/>
    <w:link w:val="a3"/>
    <w:uiPriority w:val="34"/>
    <w:rPr>
      <w:rFonts w:ascii="Calibri" w:eastAsia="宋体" w:hAnsi="Calibri" w:cs="Times New Roman"/>
    </w:rPr>
  </w:style>
  <w:style w:type="paragraph" w:styleId="a5">
    <w:name w:val="Balloon Text"/>
    <w:basedOn w:val="a"/>
    <w:link w:val="Char0"/>
    <w:uiPriority w:val="99"/>
    <w:semiHidden/>
    <w:unhideWhenUsed/>
    <w:rPr>
      <w:sz w:val="18"/>
      <w:szCs w:val="18"/>
    </w:rPr>
  </w:style>
  <w:style w:type="character" w:customStyle="1" w:styleId="Char0">
    <w:name w:val="批注框文本 Char"/>
    <w:basedOn w:val="a0"/>
    <w:link w:val="a5"/>
    <w:uiPriority w:val="99"/>
    <w:semiHidden/>
    <w:rPr>
      <w:rFonts w:ascii="Calibri" w:eastAsia="宋体" w:hAnsi="Calibri" w:cs="Times New Roman"/>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Pr>
      <w:rFonts w:ascii="Calibri" w:eastAsia="宋体" w:hAnsi="Calibri" w:cs="Times New Roman"/>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character" w:customStyle="1" w:styleId="Char2">
    <w:name w:val="页脚 Char"/>
    <w:basedOn w:val="a0"/>
    <w:link w:val="a7"/>
    <w:uiPriority w:val="9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rPr>
  </w:style>
  <w:style w:type="paragraph" w:styleId="2">
    <w:name w:val="heading 2"/>
    <w:basedOn w:val="3"/>
    <w:next w:val="4"/>
    <w:link w:val="2Char"/>
    <w:qFormat/>
    <w:pPr>
      <w:adjustRightInd w:val="0"/>
      <w:spacing w:line="240" w:lineRule="auto"/>
      <w:jc w:val="center"/>
      <w:textAlignment w:val="baseline"/>
      <w:outlineLvl w:val="1"/>
    </w:pPr>
    <w:rPr>
      <w:rFonts w:ascii="宋体" w:hAnsi="宋体"/>
      <w:bCs w:val="0"/>
      <w:kern w:val="0"/>
      <w:sz w:val="24"/>
      <w:szCs w:val="20"/>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Pr>
      <w:rFonts w:ascii="宋体" w:eastAsia="宋体" w:hAnsi="宋体" w:cs="Times New Roman"/>
      <w:b/>
      <w:kern w:val="0"/>
      <w:sz w:val="24"/>
      <w:szCs w:val="20"/>
    </w:rPr>
  </w:style>
  <w:style w:type="character" w:customStyle="1" w:styleId="4Char">
    <w:name w:val="标题 4 Char"/>
    <w:basedOn w:val="a0"/>
    <w:link w:val="4"/>
    <w:uiPriority w:val="9"/>
    <w:rPr>
      <w:rFonts w:ascii="Cambria" w:eastAsia="宋体" w:hAnsi="Cambria" w:cs="Times New Roman"/>
      <w:b/>
      <w:bCs/>
      <w:sz w:val="28"/>
      <w:szCs w:val="28"/>
    </w:rPr>
  </w:style>
  <w:style w:type="character" w:customStyle="1" w:styleId="3Char">
    <w:name w:val="标题 3 Char"/>
    <w:basedOn w:val="a0"/>
    <w:link w:val="3"/>
    <w:uiPriority w:val="9"/>
    <w:semiHidden/>
    <w:rPr>
      <w:rFonts w:ascii="Calibri" w:eastAsia="宋体" w:hAnsi="Calibri" w:cs="Times New Roman"/>
      <w:b/>
      <w:bCs/>
      <w:sz w:val="32"/>
      <w:szCs w:val="32"/>
    </w:rPr>
  </w:style>
  <w:style w:type="paragraph" w:styleId="a3">
    <w:name w:val="List Paragraph"/>
    <w:basedOn w:val="a"/>
    <w:link w:val="Char"/>
    <w:uiPriority w:val="34"/>
    <w:qFormat/>
    <w:pPr>
      <w:ind w:firstLineChars="200" w:firstLine="420"/>
    </w:pPr>
  </w:style>
  <w:style w:type="table" w:styleId="a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列出段落 Char"/>
    <w:link w:val="a3"/>
    <w:uiPriority w:val="34"/>
    <w:rPr>
      <w:rFonts w:ascii="Calibri" w:eastAsia="宋体" w:hAnsi="Calibri" w:cs="Times New Roman"/>
    </w:rPr>
  </w:style>
  <w:style w:type="paragraph" w:styleId="a5">
    <w:name w:val="Balloon Text"/>
    <w:basedOn w:val="a"/>
    <w:link w:val="Char0"/>
    <w:uiPriority w:val="99"/>
    <w:semiHidden/>
    <w:unhideWhenUsed/>
    <w:rPr>
      <w:sz w:val="18"/>
      <w:szCs w:val="18"/>
    </w:rPr>
  </w:style>
  <w:style w:type="character" w:customStyle="1" w:styleId="Char0">
    <w:name w:val="批注框文本 Char"/>
    <w:basedOn w:val="a0"/>
    <w:link w:val="a5"/>
    <w:uiPriority w:val="99"/>
    <w:semiHidden/>
    <w:rPr>
      <w:rFonts w:ascii="Calibri" w:eastAsia="宋体" w:hAnsi="Calibri" w:cs="Times New Roman"/>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Pr>
      <w:rFonts w:ascii="Calibri" w:eastAsia="宋体" w:hAnsi="Calibri" w:cs="Times New Roman"/>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character" w:customStyle="1" w:styleId="Char2">
    <w:name w:val="页脚 Char"/>
    <w:basedOn w:val="a0"/>
    <w:link w:val="a7"/>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CE1BB-A197-4958-BFC9-A35C90EC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管理员</dc:creator>
  <cp:lastModifiedBy>赵敬清</cp:lastModifiedBy>
  <cp:revision>2</cp:revision>
  <cp:lastPrinted>2019-06-03T12:20:00Z</cp:lastPrinted>
  <dcterms:created xsi:type="dcterms:W3CDTF">2019-10-11T03:34:00Z</dcterms:created>
  <dcterms:modified xsi:type="dcterms:W3CDTF">2019-10-11T03:34:00Z</dcterms:modified>
</cp:coreProperties>
</file>