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709"/>
        <w:gridCol w:w="1417"/>
        <w:gridCol w:w="851"/>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Borders>
              <w:top w:val="nil"/>
              <w:left w:val="nil"/>
              <w:bottom w:val="single" w:color="auto" w:sz="4" w:space="0"/>
              <w:right w:val="nil"/>
            </w:tcBorders>
            <w:vAlign w:val="top"/>
          </w:tcPr>
          <w:p>
            <w:pPr>
              <w:pStyle w:val="6"/>
              <w:ind w:firstLine="3780" w:firstLineChars="1800"/>
              <w:rPr>
                <w:rFonts w:hint="eastAsia"/>
                <w:b w:val="0"/>
                <w:bCs w:val="0"/>
                <w:sz w:val="21"/>
                <w:szCs w:val="21"/>
                <w:lang w:eastAsia="zh-CN"/>
              </w:rPr>
            </w:pPr>
            <w:r>
              <w:rPr>
                <w:rFonts w:hint="eastAsia"/>
                <w:b w:val="0"/>
                <w:bCs w:val="0"/>
                <w:sz w:val="21"/>
                <w:szCs w:val="21"/>
                <w:lang w:eastAsia="zh-CN"/>
              </w:rPr>
              <w:t>评标信息</w:t>
            </w:r>
          </w:p>
          <w:p>
            <w:pPr>
              <w:pStyle w:val="6"/>
              <w:ind w:firstLine="420" w:firstLineChars="200"/>
              <w:rPr>
                <w:rFonts w:hint="eastAsia" w:ascii="宋体" w:hAnsi="宋体" w:eastAsia="宋体"/>
                <w:szCs w:val="21"/>
                <w:lang w:eastAsia="zh-CN"/>
              </w:rPr>
            </w:pPr>
            <w:r>
              <w:rPr>
                <w:rFonts w:hint="eastAsia"/>
                <w:b w:val="0"/>
                <w:bCs w:val="0"/>
                <w:sz w:val="21"/>
                <w:szCs w:val="21"/>
                <w:lang w:eastAsia="zh-CN"/>
              </w:rPr>
              <w:t>投标人的“技术规格响应情况”“技术规格偏离情况”等必须与客观实际保持一致，响应不实且情节严重的，经查实，将依法记入投标人诚信档案或受到行政处罚。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序号</w:t>
            </w:r>
          </w:p>
        </w:tc>
        <w:tc>
          <w:tcPr>
            <w:tcW w:w="297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评分项</w:t>
            </w:r>
          </w:p>
        </w:tc>
        <w:tc>
          <w:tcPr>
            <w:tcW w:w="54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restart"/>
            <w:tcBorders>
              <w:top w:val="single" w:color="auto" w:sz="4" w:space="0"/>
              <w:left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一</w:t>
            </w:r>
          </w:p>
        </w:tc>
        <w:tc>
          <w:tcPr>
            <w:tcW w:w="297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Merge w:val="continue"/>
            <w:tcBorders>
              <w:left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权重（%）</w:t>
            </w: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采用低价优先法计算，即满足招标文件要求且投标价格最低的投标报价为评标基准价，其价格分为满分。其他投标人的价格分统一按照下列公式计算：</w:t>
            </w:r>
          </w:p>
          <w:p>
            <w:pPr>
              <w:keepNext w:val="0"/>
              <w:keepLines w:val="0"/>
              <w:pageBreakBefore w:val="0"/>
              <w:kinsoku/>
              <w:overflowPunct/>
              <w:topLinePunct w:val="0"/>
              <w:autoSpaceDE/>
              <w:autoSpaceDN/>
              <w:bidi w:val="0"/>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投标报价得分=(评标基准价／投标报价)×100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二</w:t>
            </w:r>
          </w:p>
        </w:tc>
        <w:tc>
          <w:tcPr>
            <w:tcW w:w="297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9" w:type="dxa"/>
            <w:vMerge w:val="restart"/>
            <w:tcBorders>
              <w:top w:val="single" w:color="auto" w:sz="4" w:space="0"/>
              <w:left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权重</w:t>
            </w:r>
          </w:p>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59"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80" w:lineRule="exact"/>
              <w:jc w:val="left"/>
              <w:rPr>
                <w:rFonts w:hint="eastAsia"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体检</w:t>
            </w:r>
            <w:r>
              <w:rPr>
                <w:rFonts w:hint="eastAsia" w:asciiTheme="minorEastAsia" w:hAnsiTheme="minorEastAsia" w:eastAsiaTheme="minorEastAsia" w:cstheme="minorEastAsia"/>
                <w:szCs w:val="21"/>
              </w:rPr>
              <w:t>实施方案</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val="0"/>
              <w:overflowPunct/>
              <w:topLinePunct w:val="0"/>
              <w:autoSpaceDE/>
              <w:autoSpaceDN/>
              <w:bidi w:val="0"/>
              <w:adjustRightInd/>
              <w:snapToGrid/>
              <w:spacing w:line="38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（一）考察内容</w:t>
            </w:r>
          </w:p>
          <w:p>
            <w:pPr>
              <w:keepNext w:val="0"/>
              <w:keepLines w:val="0"/>
              <w:pageBreakBefore w:val="0"/>
              <w:kinsoku/>
              <w:wordWrap w:val="0"/>
              <w:overflowPunct/>
              <w:topLinePunct w:val="0"/>
              <w:autoSpaceDE/>
              <w:autoSpaceDN/>
              <w:bidi w:val="0"/>
              <w:adjustRightInd/>
              <w:snapToGrid/>
              <w:spacing w:line="38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制定符合本项目的服务实施方案，方案包括：1.</w:t>
            </w:r>
            <w:r>
              <w:rPr>
                <w:rFonts w:hint="eastAsia" w:asciiTheme="minorEastAsia" w:hAnsiTheme="minorEastAsia" w:eastAsiaTheme="minorEastAsia" w:cstheme="minorEastAsia"/>
                <w:sz w:val="21"/>
                <w:szCs w:val="21"/>
                <w:highlight w:val="none"/>
                <w:lang w:eastAsia="zh-CN"/>
              </w:rPr>
              <w:t>项目背景和需求分析</w:t>
            </w: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投标人组织构架及人员配备</w:t>
            </w: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eastAsia="zh-CN"/>
              </w:rPr>
              <w:t>技术服务方案</w:t>
            </w: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eastAsia="zh-CN"/>
              </w:rPr>
              <w:t>体检服务方案</w:t>
            </w: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eastAsia="zh-CN"/>
              </w:rPr>
              <w:t>检后服务方案。</w:t>
            </w:r>
          </w:p>
          <w:p>
            <w:pPr>
              <w:keepNext w:val="0"/>
              <w:keepLines w:val="0"/>
              <w:pageBreakBefore w:val="0"/>
              <w:kinsoku/>
              <w:wordWrap w:val="0"/>
              <w:overflowPunct/>
              <w:topLinePunct w:val="0"/>
              <w:autoSpaceDE/>
              <w:autoSpaceDN/>
              <w:bidi w:val="0"/>
              <w:adjustRightInd/>
              <w:snapToGrid/>
              <w:spacing w:line="38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（二）评分标准</w:t>
            </w:r>
          </w:p>
          <w:p>
            <w:pPr>
              <w:keepNext w:val="0"/>
              <w:keepLines w:val="0"/>
              <w:pageBreakBefore w:val="0"/>
              <w:kinsoku/>
              <w:wordWrap w:val="0"/>
              <w:overflowPunct/>
              <w:topLinePunct w:val="0"/>
              <w:autoSpaceDE/>
              <w:autoSpaceDN/>
              <w:bidi w:val="0"/>
              <w:adjustRightInd/>
              <w:snapToGrid/>
              <w:spacing w:line="38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提供以上</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项得</w:t>
            </w:r>
            <w:r>
              <w:rPr>
                <w:rFonts w:hint="eastAsia" w:asciiTheme="minorEastAsia" w:hAnsiTheme="minorEastAsia" w:eastAsiaTheme="minorEastAsia" w:cstheme="minorEastAsia"/>
                <w:sz w:val="21"/>
                <w:szCs w:val="21"/>
                <w:highlight w:val="none"/>
                <w:lang w:val="en-US" w:eastAsia="zh-CN"/>
              </w:rPr>
              <w:t>50</w:t>
            </w:r>
            <w:r>
              <w:rPr>
                <w:rFonts w:hint="eastAsia" w:asciiTheme="minorEastAsia" w:hAnsiTheme="minorEastAsia" w:eastAsiaTheme="minorEastAsia" w:cstheme="minorEastAsia"/>
                <w:sz w:val="21"/>
                <w:szCs w:val="21"/>
                <w:highlight w:val="none"/>
              </w:rPr>
              <w:t>分，缺漏项不得分。在此基础上，专家根据各</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的具体响应内容按照量化的评审因素指标进一步评审</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kinsoku/>
              <w:wordWrap w:val="0"/>
              <w:overflowPunct/>
              <w:topLinePunct w:val="0"/>
              <w:autoSpaceDE/>
              <w:autoSpaceDN/>
              <w:bidi w:val="0"/>
              <w:adjustRightInd/>
              <w:snapToGrid/>
              <w:spacing w:line="38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评审为优：项目实施方案内容全面、具体，针对性强，科学合理，可操作性强，</w:t>
            </w:r>
            <w:r>
              <w:rPr>
                <w:rFonts w:hint="eastAsia" w:asciiTheme="minorEastAsia" w:hAnsiTheme="minorEastAsia" w:eastAsiaTheme="minorEastAsia" w:cstheme="minorEastAsia"/>
                <w:sz w:val="21"/>
                <w:szCs w:val="21"/>
                <w:highlight w:val="none"/>
                <w:lang w:eastAsia="zh-CN"/>
              </w:rPr>
              <w:t>得</w:t>
            </w:r>
            <w:r>
              <w:rPr>
                <w:rFonts w:hint="eastAsia" w:asciiTheme="minorEastAsia" w:hAnsiTheme="minorEastAsia" w:eastAsiaTheme="minorEastAsia" w:cstheme="minorEastAsia"/>
                <w:sz w:val="21"/>
                <w:szCs w:val="21"/>
                <w:highlight w:val="none"/>
                <w:lang w:val="en-US" w:eastAsia="zh-CN"/>
              </w:rPr>
              <w:t>50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kinsoku/>
              <w:wordWrap w:val="0"/>
              <w:overflowPunct/>
              <w:topLinePunct w:val="0"/>
              <w:autoSpaceDE/>
              <w:autoSpaceDN/>
              <w:bidi w:val="0"/>
              <w:adjustRightInd/>
              <w:snapToGrid/>
              <w:spacing w:line="38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评审为良：项目实施方案内容较全面、具体，针对性较强，基本科学合理，可操作性较强，得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0分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 </w:t>
            </w:r>
          </w:p>
          <w:p>
            <w:pPr>
              <w:keepNext w:val="0"/>
              <w:keepLines w:val="0"/>
              <w:pageBreakBefore w:val="0"/>
              <w:kinsoku/>
              <w:wordWrap w:val="0"/>
              <w:overflowPunct/>
              <w:topLinePunct w:val="0"/>
              <w:autoSpaceDE/>
              <w:autoSpaceDN/>
              <w:bidi w:val="0"/>
              <w:adjustRightInd/>
              <w:snapToGrid/>
              <w:spacing w:line="38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评审为中：项目实施方案内容较全面、具体，针对性较弱，不够科学合理、可操作性一般，得</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 </w:t>
            </w:r>
          </w:p>
          <w:p>
            <w:pPr>
              <w:keepNext w:val="0"/>
              <w:keepLines w:val="0"/>
              <w:pageBreakBefore w:val="0"/>
              <w:kinsoku/>
              <w:wordWrap w:val="0"/>
              <w:overflowPunct/>
              <w:topLinePunct w:val="0"/>
              <w:autoSpaceDE/>
              <w:autoSpaceDN/>
              <w:bidi w:val="0"/>
              <w:adjustRightInd/>
              <w:snapToGrid/>
              <w:spacing w:line="38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评审为差：项目实施方案内容不合理，不具有操作性，不得分。</w:t>
            </w:r>
          </w:p>
          <w:p>
            <w:pPr>
              <w:keepNext w:val="0"/>
              <w:keepLines w:val="0"/>
              <w:pageBreakBefore w:val="0"/>
              <w:kinsoku/>
              <w:overflowPunct/>
              <w:topLinePunct w:val="0"/>
              <w:autoSpaceDE/>
              <w:autoSpaceDN/>
              <w:bidi w:val="0"/>
              <w:spacing w:line="380" w:lineRule="exact"/>
              <w:jc w:val="left"/>
              <w:rPr>
                <w:rFonts w:hint="eastAsia" w:asciiTheme="minorEastAsia" w:hAnsiTheme="minorEastAsia" w:eastAsiaTheme="minorEastAsia" w:cstheme="minorEastAsia"/>
                <w:b/>
                <w:i/>
                <w:szCs w:val="21"/>
                <w:u w:val="single"/>
              </w:rPr>
            </w:pPr>
            <w:r>
              <w:rPr>
                <w:rFonts w:hint="eastAsia" w:asciiTheme="minorEastAsia" w:hAnsiTheme="minorEastAsia" w:eastAsiaTheme="minorEastAsia" w:cstheme="minorEastAsia"/>
                <w:sz w:val="21"/>
                <w:szCs w:val="21"/>
                <w:highlight w:val="none"/>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9"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80" w:lineRule="exact"/>
              <w:jc w:val="left"/>
              <w:rPr>
                <w:rFonts w:hint="eastAsia"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项目重点难点分析、应对措施及相关的合理化建议</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（一）考察内容</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提供符合本项目服务特点的相关</w:t>
            </w:r>
            <w:r>
              <w:rPr>
                <w:rFonts w:hint="eastAsia" w:asciiTheme="minorEastAsia" w:hAnsiTheme="minorEastAsia" w:eastAsiaTheme="minorEastAsia" w:cstheme="minorEastAsia"/>
                <w:sz w:val="21"/>
                <w:szCs w:val="21"/>
                <w:highlight w:val="none"/>
                <w:lang w:eastAsia="zh-CN"/>
              </w:rPr>
              <w:t>内容，包括：</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重点难点分析</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应对措施</w:t>
            </w:r>
            <w:r>
              <w:rPr>
                <w:rFonts w:hint="eastAsia" w:asciiTheme="minorEastAsia" w:hAnsiTheme="minorEastAsia" w:eastAsiaTheme="minorEastAsia" w:cstheme="minorEastAsia"/>
                <w:sz w:val="21"/>
                <w:szCs w:val="21"/>
                <w:highlight w:val="none"/>
                <w:lang w:eastAsia="zh-CN"/>
              </w:rPr>
              <w:t>和</w:t>
            </w:r>
            <w:r>
              <w:rPr>
                <w:rFonts w:hint="eastAsia" w:asciiTheme="minorEastAsia" w:hAnsiTheme="minorEastAsia" w:eastAsiaTheme="minorEastAsia" w:cstheme="minorEastAsia"/>
                <w:sz w:val="21"/>
                <w:szCs w:val="21"/>
                <w:highlight w:val="none"/>
              </w:rPr>
              <w:t>相关的合理化建议。</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（二）评分标准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提供以上</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项得</w:t>
            </w:r>
            <w:r>
              <w:rPr>
                <w:rFonts w:hint="eastAsia" w:asciiTheme="minorEastAsia" w:hAnsiTheme="minorEastAsia" w:eastAsiaTheme="minorEastAsia" w:cstheme="minorEastAsia"/>
                <w:sz w:val="21"/>
                <w:szCs w:val="21"/>
                <w:highlight w:val="none"/>
                <w:lang w:val="en-US" w:eastAsia="zh-CN"/>
              </w:rPr>
              <w:t>50</w:t>
            </w:r>
            <w:r>
              <w:rPr>
                <w:rFonts w:hint="eastAsia" w:asciiTheme="minorEastAsia" w:hAnsiTheme="minorEastAsia" w:eastAsiaTheme="minorEastAsia" w:cstheme="minorEastAsia"/>
                <w:sz w:val="21"/>
                <w:szCs w:val="21"/>
                <w:highlight w:val="none"/>
              </w:rPr>
              <w:t>分，缺漏项不得分，未满足不得分。在此基础上，专家根据各</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的具体响应内容按照量化的评审因素指标进一步评审</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评审为优：重点难点分析透彻、应对措施及相关的合理化建议完善为优，得</w:t>
            </w:r>
            <w:r>
              <w:rPr>
                <w:rFonts w:hint="eastAsia" w:asciiTheme="minorEastAsia" w:hAnsiTheme="minorEastAsia" w:eastAsiaTheme="minorEastAsia" w:cstheme="minorEastAsia"/>
                <w:sz w:val="21"/>
                <w:szCs w:val="21"/>
                <w:highlight w:val="none"/>
                <w:lang w:val="en-US" w:eastAsia="zh-CN"/>
              </w:rPr>
              <w:t>50</w:t>
            </w:r>
            <w:r>
              <w:rPr>
                <w:rFonts w:hint="eastAsia" w:asciiTheme="minorEastAsia" w:hAnsiTheme="minorEastAsia" w:eastAsiaTheme="minorEastAsia" w:cstheme="minorEastAsia"/>
                <w:sz w:val="21"/>
                <w:szCs w:val="21"/>
                <w:highlight w:val="none"/>
              </w:rPr>
              <w:t>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评审为良：重点难点分析较为透彻、应对措施及相关的合理化建议较为完善为良，得</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评审为中：重点难点分析一般、应对措施及相关的合理化建议一般为中，得</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评审为差：重点难点分析不透彻、应对措施及相关的合理化建议不完善为差或未提供的，不得分。</w:t>
            </w:r>
          </w:p>
          <w:p>
            <w:pPr>
              <w:keepNext w:val="0"/>
              <w:keepLines w:val="0"/>
              <w:pageBreakBefore w:val="0"/>
              <w:kinsoku/>
              <w:overflowPunct/>
              <w:topLinePunct w:val="0"/>
              <w:autoSpaceDE/>
              <w:autoSpaceDN/>
              <w:bidi w:val="0"/>
              <w:spacing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9"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80" w:lineRule="exact"/>
              <w:jc w:val="lef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ascii="宋体" w:hAnsi="宋体"/>
                <w:szCs w:val="21"/>
              </w:rPr>
              <w:t>3</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left"/>
              <w:rPr>
                <w:rFonts w:ascii="宋体" w:hAnsi="宋体"/>
                <w:szCs w:val="21"/>
              </w:rPr>
            </w:pPr>
            <w:r>
              <w:rPr>
                <w:rFonts w:hint="eastAsia" w:ascii="宋体" w:hAnsi="宋体"/>
                <w:szCs w:val="21"/>
              </w:rPr>
              <w:t>安全保障措施及方案</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（一）考察内容</w:t>
            </w:r>
          </w:p>
          <w:p>
            <w:pPr>
              <w:pStyle w:val="2"/>
              <w:keepNext w:val="0"/>
              <w:keepLines w:val="0"/>
              <w:pageBreakBefore w:val="0"/>
              <w:kinsoku/>
              <w:overflowPunct/>
              <w:topLinePunct w:val="0"/>
              <w:autoSpaceDE/>
              <w:autoSpaceDN/>
              <w:bidi w:val="0"/>
              <w:spacing w:line="380" w:lineRule="exact"/>
              <w:rPr>
                <w:rFonts w:hint="default"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制定符合本项目的质量（安全）保障措施及方案</w:t>
            </w:r>
            <w:r>
              <w:rPr>
                <w:rFonts w:hint="eastAsia" w:asciiTheme="minorEastAsia" w:hAnsiTheme="minorEastAsia" w:eastAsiaTheme="minorEastAsia" w:cstheme="minorEastAsia"/>
                <w:b w:val="0"/>
                <w:bCs w:val="0"/>
                <w:sz w:val="21"/>
                <w:szCs w:val="21"/>
                <w:highlight w:val="none"/>
                <w:lang w:eastAsia="zh-CN"/>
              </w:rPr>
              <w:t>。</w:t>
            </w:r>
          </w:p>
          <w:p>
            <w:pPr>
              <w:keepNext w:val="0"/>
              <w:keepLines w:val="0"/>
              <w:pageBreakBefore w:val="0"/>
              <w:numPr>
                <w:ilvl w:val="0"/>
                <w:numId w:val="1"/>
              </w:numPr>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评分标准</w:t>
            </w:r>
          </w:p>
          <w:p>
            <w:pPr>
              <w:keepNext w:val="0"/>
              <w:keepLines w:val="0"/>
              <w:pageBreakBefore w:val="0"/>
              <w:kinsoku/>
              <w:wordWrap w:val="0"/>
              <w:overflowPunct/>
              <w:topLinePunct w:val="0"/>
              <w:autoSpaceDE/>
              <w:autoSpaceDN/>
              <w:bidi w:val="0"/>
              <w:adjustRightInd/>
              <w:snapToGrid/>
              <w:spacing w:line="380" w:lineRule="exact"/>
              <w:jc w:val="left"/>
              <w:rPr>
                <w:rFonts w:hint="default" w:eastAsiaTheme="minorEastAsia"/>
                <w:lang w:val="en-US" w:eastAsia="zh-CN"/>
              </w:rPr>
            </w:pPr>
            <w:r>
              <w:rPr>
                <w:rFonts w:hint="eastAsia"/>
                <w:lang w:eastAsia="zh-CN"/>
              </w:rPr>
              <w:t>提供</w:t>
            </w:r>
            <w:r>
              <w:rPr>
                <w:rFonts w:hint="eastAsia" w:asciiTheme="minorEastAsia" w:hAnsiTheme="minorEastAsia" w:eastAsiaTheme="minorEastAsia" w:cstheme="minorEastAsia"/>
                <w:sz w:val="21"/>
                <w:szCs w:val="21"/>
                <w:highlight w:val="none"/>
              </w:rPr>
              <w:t>质量（安全）保障措施及方案</w:t>
            </w:r>
            <w:r>
              <w:rPr>
                <w:rFonts w:hint="eastAsia" w:asciiTheme="minorEastAsia" w:hAnsiTheme="minorEastAsia" w:eastAsiaTheme="minorEastAsia" w:cstheme="minorEastAsia"/>
                <w:sz w:val="21"/>
                <w:szCs w:val="21"/>
                <w:highlight w:val="none"/>
                <w:lang w:eastAsia="zh-CN"/>
              </w:rPr>
              <w:t>得</w:t>
            </w:r>
            <w:r>
              <w:rPr>
                <w:rFonts w:hint="eastAsia" w:asciiTheme="minorEastAsia" w:hAnsiTheme="minorEastAsia" w:eastAsiaTheme="minorEastAsia" w:cstheme="minorEastAsia"/>
                <w:sz w:val="21"/>
                <w:szCs w:val="21"/>
                <w:highlight w:val="none"/>
                <w:lang w:val="en-US" w:eastAsia="zh-CN"/>
              </w:rPr>
              <w:t>50分，未提供不得分，</w:t>
            </w:r>
            <w:r>
              <w:rPr>
                <w:rFonts w:hint="eastAsia" w:asciiTheme="minorEastAsia" w:hAnsiTheme="minorEastAsia" w:eastAsiaTheme="minorEastAsia" w:cstheme="minorEastAsia"/>
                <w:sz w:val="21"/>
                <w:szCs w:val="21"/>
                <w:highlight w:val="none"/>
              </w:rPr>
              <w:t>在此基础上，专家根据各</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的具体响应内容按照量化的评审因素指标进一步评审</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评审为优：质量保障措施及方案完善为优，得</w:t>
            </w:r>
            <w:r>
              <w:rPr>
                <w:rFonts w:hint="eastAsia" w:asciiTheme="minorEastAsia" w:hAnsiTheme="minorEastAsia" w:eastAsiaTheme="minorEastAsia" w:cstheme="minorEastAsia"/>
                <w:sz w:val="21"/>
                <w:szCs w:val="21"/>
                <w:highlight w:val="none"/>
                <w:lang w:val="en-US" w:eastAsia="zh-CN"/>
              </w:rPr>
              <w:t>50</w:t>
            </w:r>
            <w:r>
              <w:rPr>
                <w:rFonts w:hint="eastAsia" w:asciiTheme="minorEastAsia" w:hAnsiTheme="minorEastAsia" w:eastAsiaTheme="minorEastAsia" w:cstheme="minorEastAsia"/>
                <w:sz w:val="21"/>
                <w:szCs w:val="21"/>
                <w:highlight w:val="none"/>
              </w:rPr>
              <w:t>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评审为良：质量保障措施及方案较为完善为良，得</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评审为中：质量保障措施及方案一般为中，得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0分。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评审为差：质量保障措施及方案不完善为差或未提供的，不得分。</w:t>
            </w:r>
          </w:p>
          <w:p>
            <w:pPr>
              <w:keepNext w:val="0"/>
              <w:keepLines w:val="0"/>
              <w:pageBreakBefore w:val="0"/>
              <w:kinsoku/>
              <w:wordWrap w:val="0"/>
              <w:overflowPunct/>
              <w:topLinePunct w:val="0"/>
              <w:autoSpaceDE/>
              <w:autoSpaceDN/>
              <w:bidi w:val="0"/>
              <w:adjustRightInd/>
              <w:snapToGrid/>
              <w:spacing w:line="380" w:lineRule="exac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9"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80" w:lineRule="exact"/>
              <w:jc w:val="lef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4</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left"/>
              <w:rPr>
                <w:rFonts w:hint="eastAsia" w:ascii="宋体" w:hAnsi="宋体" w:eastAsia="宋体"/>
                <w:szCs w:val="21"/>
                <w:lang w:eastAsia="zh-CN"/>
              </w:rPr>
            </w:pPr>
            <w:r>
              <w:rPr>
                <w:rFonts w:hint="eastAsia" w:ascii="宋体" w:hAnsi="宋体"/>
                <w:szCs w:val="21"/>
                <w:lang w:eastAsia="zh-CN"/>
              </w:rPr>
              <w:t>服务质量管理方案</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54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rPr>
              <w:t>（一）考察内容</w:t>
            </w:r>
          </w:p>
          <w:p>
            <w:pPr>
              <w:keepNext w:val="0"/>
              <w:keepLines w:val="0"/>
              <w:pageBreakBefore w:val="0"/>
              <w:widowControl/>
              <w:kinsoku/>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rPr>
              <w:t>制定本项目的服务质量管理方案，至少包括：</w:t>
            </w:r>
          </w:p>
          <w:p>
            <w:pPr>
              <w:keepNext w:val="0"/>
              <w:keepLines w:val="0"/>
              <w:pageBreakBefore w:val="0"/>
              <w:widowControl/>
              <w:numPr>
                <w:ilvl w:val="0"/>
                <w:numId w:val="0"/>
              </w:numPr>
              <w:kinsoku/>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b w:val="0"/>
                <w:bCs w:val="0"/>
                <w:kern w:val="0"/>
                <w:sz w:val="21"/>
                <w:szCs w:val="21"/>
                <w:highlight w:val="none"/>
                <w:lang w:eastAsia="zh-CN"/>
              </w:rPr>
            </w:pPr>
            <w:r>
              <w:rPr>
                <w:rFonts w:hint="eastAsia" w:asciiTheme="minorEastAsia" w:hAnsiTheme="minorEastAsia" w:eastAsiaTheme="minorEastAsia" w:cstheme="minorEastAsia"/>
                <w:b w:val="0"/>
                <w:bCs w:val="0"/>
                <w:kern w:val="0"/>
                <w:sz w:val="21"/>
                <w:szCs w:val="21"/>
                <w:highlight w:val="none"/>
                <w:lang w:val="en-US" w:eastAsia="zh-CN"/>
              </w:rPr>
              <w:t>1.</w:t>
            </w:r>
            <w:r>
              <w:rPr>
                <w:rFonts w:hint="eastAsia" w:asciiTheme="minorEastAsia" w:hAnsiTheme="minorEastAsia" w:eastAsiaTheme="minorEastAsia" w:cstheme="minorEastAsia"/>
                <w:b w:val="0"/>
                <w:bCs w:val="0"/>
                <w:kern w:val="0"/>
                <w:sz w:val="21"/>
                <w:szCs w:val="21"/>
                <w:highlight w:val="none"/>
                <w:lang w:eastAsia="zh-CN"/>
              </w:rPr>
              <w:t>体检机构环境介绍及机构优势。</w:t>
            </w:r>
          </w:p>
          <w:p>
            <w:pPr>
              <w:keepNext w:val="0"/>
              <w:keepLines w:val="0"/>
              <w:pageBreakBefore w:val="0"/>
              <w:widowControl/>
              <w:kinsoku/>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b w:val="0"/>
                <w:bCs w:val="0"/>
                <w:kern w:val="0"/>
                <w:sz w:val="21"/>
                <w:szCs w:val="21"/>
                <w:highlight w:val="none"/>
                <w:lang w:eastAsia="zh-CN"/>
              </w:rPr>
            </w:pPr>
            <w:r>
              <w:rPr>
                <w:rFonts w:hint="eastAsia" w:asciiTheme="minorEastAsia" w:hAnsiTheme="minorEastAsia" w:eastAsiaTheme="minorEastAsia" w:cstheme="minorEastAsia"/>
                <w:b w:val="0"/>
                <w:bCs w:val="0"/>
                <w:kern w:val="0"/>
                <w:sz w:val="21"/>
                <w:szCs w:val="21"/>
                <w:highlight w:val="none"/>
                <w:lang w:val="en-US" w:eastAsia="zh-CN"/>
              </w:rPr>
              <w:t>2.</w:t>
            </w:r>
            <w:r>
              <w:rPr>
                <w:rFonts w:hint="eastAsia" w:asciiTheme="minorEastAsia" w:hAnsiTheme="minorEastAsia" w:eastAsiaTheme="minorEastAsia" w:cstheme="minorEastAsia"/>
                <w:b w:val="0"/>
                <w:bCs w:val="0"/>
                <w:kern w:val="0"/>
                <w:sz w:val="21"/>
                <w:szCs w:val="21"/>
                <w:highlight w:val="none"/>
                <w:lang w:eastAsia="zh-CN"/>
              </w:rPr>
              <w:t>复检补检方案。</w:t>
            </w:r>
          </w:p>
          <w:p>
            <w:pPr>
              <w:keepNext w:val="0"/>
              <w:keepLines w:val="0"/>
              <w:pageBreakBefore w:val="0"/>
              <w:widowControl/>
              <w:kinsoku/>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lang w:val="en-US" w:eastAsia="zh-CN"/>
              </w:rPr>
              <w:t>3</w:t>
            </w:r>
            <w:r>
              <w:rPr>
                <w:rFonts w:hint="eastAsia" w:asciiTheme="minorEastAsia" w:hAnsiTheme="minorEastAsia" w:eastAsiaTheme="minorEastAsia" w:cstheme="minorEastAsia"/>
                <w:b w:val="0"/>
                <w:bCs w:val="0"/>
                <w:kern w:val="0"/>
                <w:sz w:val="21"/>
                <w:szCs w:val="21"/>
                <w:highlight w:val="none"/>
              </w:rPr>
              <w:t>.</w:t>
            </w:r>
            <w:r>
              <w:rPr>
                <w:rFonts w:hint="eastAsia" w:asciiTheme="minorEastAsia" w:hAnsiTheme="minorEastAsia" w:eastAsiaTheme="minorEastAsia" w:cstheme="minorEastAsia"/>
                <w:b w:val="0"/>
                <w:bCs w:val="0"/>
                <w:kern w:val="0"/>
                <w:sz w:val="21"/>
                <w:szCs w:val="21"/>
                <w:highlight w:val="none"/>
                <w:lang w:eastAsia="zh-CN"/>
              </w:rPr>
              <w:t>检后医疗指导</w:t>
            </w:r>
            <w:r>
              <w:rPr>
                <w:rFonts w:hint="eastAsia" w:asciiTheme="minorEastAsia" w:hAnsiTheme="minorEastAsia" w:eastAsiaTheme="minorEastAsia" w:cstheme="minorEastAsia"/>
                <w:b w:val="0"/>
                <w:bCs w:val="0"/>
                <w:kern w:val="0"/>
                <w:sz w:val="21"/>
                <w:szCs w:val="21"/>
                <w:highlight w:val="none"/>
              </w:rPr>
              <w:t>。</w:t>
            </w:r>
          </w:p>
          <w:p>
            <w:pPr>
              <w:keepNext w:val="0"/>
              <w:keepLines w:val="0"/>
              <w:pageBreakBefore w:val="0"/>
              <w:widowControl/>
              <w:kinsoku/>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rPr>
              <w:t>（二）评分标准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rPr>
              <w:t>提供以上</w:t>
            </w:r>
            <w:r>
              <w:rPr>
                <w:rFonts w:hint="eastAsia" w:asciiTheme="minorEastAsia" w:hAnsiTheme="minorEastAsia" w:eastAsiaTheme="minorEastAsia" w:cstheme="minorEastAsia"/>
                <w:b w:val="0"/>
                <w:bCs w:val="0"/>
                <w:sz w:val="21"/>
                <w:szCs w:val="21"/>
                <w:highlight w:val="none"/>
                <w:lang w:val="en-US" w:eastAsia="zh-CN"/>
              </w:rPr>
              <w:t>3</w:t>
            </w:r>
            <w:r>
              <w:rPr>
                <w:rFonts w:hint="eastAsia" w:asciiTheme="minorEastAsia" w:hAnsiTheme="minorEastAsia" w:eastAsiaTheme="minorEastAsia" w:cstheme="minorEastAsia"/>
                <w:b w:val="0"/>
                <w:bCs w:val="0"/>
                <w:sz w:val="21"/>
                <w:szCs w:val="21"/>
                <w:highlight w:val="none"/>
              </w:rPr>
              <w:t>项得</w:t>
            </w:r>
            <w:r>
              <w:rPr>
                <w:rFonts w:hint="eastAsia" w:asciiTheme="minorEastAsia" w:hAnsiTheme="minorEastAsia" w:eastAsiaTheme="minorEastAsia" w:cstheme="minorEastAsia"/>
                <w:b w:val="0"/>
                <w:bCs w:val="0"/>
                <w:sz w:val="21"/>
                <w:szCs w:val="21"/>
                <w:highlight w:val="none"/>
                <w:lang w:val="en-US" w:eastAsia="zh-CN"/>
              </w:rPr>
              <w:t>50</w:t>
            </w:r>
            <w:r>
              <w:rPr>
                <w:rFonts w:hint="eastAsia" w:asciiTheme="minorEastAsia" w:hAnsiTheme="minorEastAsia" w:eastAsiaTheme="minorEastAsia" w:cstheme="minorEastAsia"/>
                <w:b w:val="0"/>
                <w:bCs w:val="0"/>
                <w:sz w:val="21"/>
                <w:szCs w:val="21"/>
                <w:highlight w:val="none"/>
              </w:rPr>
              <w:t>分，缺漏项不得分，未满足不得分。在此基础上，专家根据各</w:t>
            </w:r>
            <w:r>
              <w:rPr>
                <w:rFonts w:hint="eastAsia" w:asciiTheme="minorEastAsia" w:hAnsiTheme="minorEastAsia" w:eastAsiaTheme="minorEastAsia" w:cstheme="minorEastAsia"/>
                <w:b w:val="0"/>
                <w:bCs w:val="0"/>
                <w:sz w:val="21"/>
                <w:szCs w:val="21"/>
                <w:highlight w:val="none"/>
                <w:lang w:eastAsia="zh-CN"/>
              </w:rPr>
              <w:t>投标人</w:t>
            </w:r>
            <w:r>
              <w:rPr>
                <w:rFonts w:hint="eastAsia" w:asciiTheme="minorEastAsia" w:hAnsiTheme="minorEastAsia" w:eastAsiaTheme="minorEastAsia" w:cstheme="minorEastAsia"/>
                <w:b w:val="0"/>
                <w:bCs w:val="0"/>
                <w:sz w:val="21"/>
                <w:szCs w:val="21"/>
                <w:highlight w:val="none"/>
              </w:rPr>
              <w:t>的具体响应内容按照量化的评审因素指标进一步评审</w:t>
            </w:r>
            <w:r>
              <w:rPr>
                <w:rFonts w:hint="eastAsia" w:asciiTheme="minorEastAsia" w:hAnsiTheme="minorEastAsia" w:eastAsiaTheme="minorEastAsia" w:cstheme="minorEastAsia"/>
                <w:b w:val="0"/>
                <w:bCs w:val="0"/>
                <w:sz w:val="21"/>
                <w:szCs w:val="21"/>
                <w:highlight w:val="none"/>
                <w:lang w:eastAsia="zh-CN"/>
              </w:rPr>
              <w:t>。</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评审为优：</w:t>
            </w:r>
            <w:r>
              <w:rPr>
                <w:rFonts w:hint="eastAsia" w:asciiTheme="minorEastAsia" w:hAnsiTheme="minorEastAsia" w:eastAsiaTheme="minorEastAsia" w:cstheme="minorEastAsia"/>
                <w:b w:val="0"/>
                <w:bCs w:val="0"/>
                <w:kern w:val="0"/>
                <w:sz w:val="21"/>
                <w:szCs w:val="21"/>
                <w:highlight w:val="none"/>
              </w:rPr>
              <w:t>服务质量管理方案</w:t>
            </w:r>
            <w:r>
              <w:rPr>
                <w:rFonts w:hint="eastAsia" w:asciiTheme="minorEastAsia" w:hAnsiTheme="minorEastAsia" w:eastAsiaTheme="minorEastAsia" w:cstheme="minorEastAsia"/>
                <w:b w:val="0"/>
                <w:bCs w:val="0"/>
                <w:sz w:val="21"/>
                <w:szCs w:val="21"/>
                <w:highlight w:val="none"/>
              </w:rPr>
              <w:t>完善为优，得</w:t>
            </w:r>
            <w:r>
              <w:rPr>
                <w:rFonts w:hint="eastAsia" w:asciiTheme="minorEastAsia" w:hAnsiTheme="minorEastAsia" w:eastAsiaTheme="minorEastAsia" w:cstheme="minorEastAsia"/>
                <w:b w:val="0"/>
                <w:bCs w:val="0"/>
                <w:sz w:val="21"/>
                <w:szCs w:val="21"/>
                <w:highlight w:val="none"/>
                <w:lang w:val="en-US" w:eastAsia="zh-CN"/>
              </w:rPr>
              <w:t>5</w:t>
            </w:r>
            <w:r>
              <w:rPr>
                <w:rFonts w:hint="eastAsia" w:asciiTheme="minorEastAsia" w:hAnsiTheme="minorEastAsia" w:eastAsiaTheme="minorEastAsia" w:cstheme="minorEastAsia"/>
                <w:b w:val="0"/>
                <w:bCs w:val="0"/>
                <w:sz w:val="21"/>
                <w:szCs w:val="21"/>
                <w:highlight w:val="none"/>
              </w:rPr>
              <w:t>0分。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评审为良：</w:t>
            </w:r>
            <w:r>
              <w:rPr>
                <w:rFonts w:hint="eastAsia" w:asciiTheme="minorEastAsia" w:hAnsiTheme="minorEastAsia" w:eastAsiaTheme="minorEastAsia" w:cstheme="minorEastAsia"/>
                <w:b w:val="0"/>
                <w:bCs w:val="0"/>
                <w:kern w:val="0"/>
                <w:sz w:val="21"/>
                <w:szCs w:val="21"/>
                <w:highlight w:val="none"/>
              </w:rPr>
              <w:t>服务质量管理方案</w:t>
            </w:r>
            <w:r>
              <w:rPr>
                <w:rFonts w:hint="eastAsia" w:asciiTheme="minorEastAsia" w:hAnsiTheme="minorEastAsia" w:eastAsiaTheme="minorEastAsia" w:cstheme="minorEastAsia"/>
                <w:b w:val="0"/>
                <w:bCs w:val="0"/>
                <w:sz w:val="21"/>
                <w:szCs w:val="21"/>
                <w:highlight w:val="none"/>
              </w:rPr>
              <w:t>较为完善为良，得</w:t>
            </w:r>
            <w:r>
              <w:rPr>
                <w:rFonts w:hint="eastAsia" w:asciiTheme="minorEastAsia" w:hAnsiTheme="minorEastAsia" w:eastAsiaTheme="minorEastAsia" w:cstheme="minorEastAsia"/>
                <w:b w:val="0"/>
                <w:bCs w:val="0"/>
                <w:sz w:val="21"/>
                <w:szCs w:val="21"/>
                <w:highlight w:val="none"/>
                <w:lang w:val="en-US" w:eastAsia="zh-CN"/>
              </w:rPr>
              <w:t>3</w:t>
            </w:r>
            <w:r>
              <w:rPr>
                <w:rFonts w:hint="eastAsia" w:asciiTheme="minorEastAsia" w:hAnsiTheme="minorEastAsia" w:eastAsiaTheme="minorEastAsia" w:cstheme="minorEastAsia"/>
                <w:b w:val="0"/>
                <w:bCs w:val="0"/>
                <w:sz w:val="21"/>
                <w:szCs w:val="21"/>
                <w:highlight w:val="none"/>
              </w:rPr>
              <w:t>0分。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评审为中：</w:t>
            </w:r>
            <w:r>
              <w:rPr>
                <w:rFonts w:hint="eastAsia" w:asciiTheme="minorEastAsia" w:hAnsiTheme="minorEastAsia" w:eastAsiaTheme="minorEastAsia" w:cstheme="minorEastAsia"/>
                <w:b w:val="0"/>
                <w:bCs w:val="0"/>
                <w:kern w:val="0"/>
                <w:sz w:val="21"/>
                <w:szCs w:val="21"/>
                <w:highlight w:val="none"/>
              </w:rPr>
              <w:t>服务质量管理方案</w:t>
            </w:r>
            <w:r>
              <w:rPr>
                <w:rFonts w:hint="eastAsia" w:asciiTheme="minorEastAsia" w:hAnsiTheme="minorEastAsia" w:eastAsiaTheme="minorEastAsia" w:cstheme="minorEastAsia"/>
                <w:b w:val="0"/>
                <w:bCs w:val="0"/>
                <w:sz w:val="21"/>
                <w:szCs w:val="21"/>
                <w:highlight w:val="none"/>
              </w:rPr>
              <w:t>一般为中，得</w:t>
            </w:r>
            <w:r>
              <w:rPr>
                <w:rFonts w:hint="eastAsia" w:asciiTheme="minorEastAsia" w:hAnsiTheme="minorEastAsia" w:eastAsiaTheme="minorEastAsia" w:cstheme="minorEastAsia"/>
                <w:b w:val="0"/>
                <w:bCs w:val="0"/>
                <w:sz w:val="21"/>
                <w:szCs w:val="21"/>
                <w:highlight w:val="none"/>
                <w:lang w:val="en-US" w:eastAsia="zh-CN"/>
              </w:rPr>
              <w:t>2</w:t>
            </w:r>
            <w:r>
              <w:rPr>
                <w:rFonts w:hint="eastAsia" w:asciiTheme="minorEastAsia" w:hAnsiTheme="minorEastAsia" w:eastAsiaTheme="minorEastAsia" w:cstheme="minorEastAsia"/>
                <w:b w:val="0"/>
                <w:bCs w:val="0"/>
                <w:sz w:val="21"/>
                <w:szCs w:val="21"/>
                <w:highlight w:val="none"/>
              </w:rPr>
              <w:t>0分。</w:t>
            </w:r>
          </w:p>
          <w:p>
            <w:pPr>
              <w:keepNext w:val="0"/>
              <w:keepLines w:val="0"/>
              <w:pageBreakBefore w:val="0"/>
              <w:kinsoku/>
              <w:wordWrap w:val="0"/>
              <w:overflowPunct/>
              <w:topLinePunct w:val="0"/>
              <w:autoSpaceDE/>
              <w:autoSpaceDN/>
              <w:bidi w:val="0"/>
              <w:adjustRightInd/>
              <w:snapToGrid/>
              <w:spacing w:line="380" w:lineRule="exact"/>
              <w:jc w:val="left"/>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评审为差：</w:t>
            </w:r>
            <w:r>
              <w:rPr>
                <w:rFonts w:hint="eastAsia" w:asciiTheme="minorEastAsia" w:hAnsiTheme="minorEastAsia" w:eastAsiaTheme="minorEastAsia" w:cstheme="minorEastAsia"/>
                <w:b w:val="0"/>
                <w:bCs w:val="0"/>
                <w:kern w:val="0"/>
                <w:sz w:val="21"/>
                <w:szCs w:val="21"/>
                <w:highlight w:val="none"/>
              </w:rPr>
              <w:t>服务质量管理方案</w:t>
            </w:r>
            <w:r>
              <w:rPr>
                <w:rFonts w:hint="eastAsia" w:asciiTheme="minorEastAsia" w:hAnsiTheme="minorEastAsia" w:eastAsiaTheme="minorEastAsia" w:cstheme="minorEastAsia"/>
                <w:b w:val="0"/>
                <w:bCs w:val="0"/>
                <w:sz w:val="21"/>
                <w:szCs w:val="21"/>
                <w:highlight w:val="none"/>
              </w:rPr>
              <w:t>不完善为差或未提供的，不得分。</w:t>
            </w:r>
          </w:p>
          <w:p>
            <w:pPr>
              <w:keepNext w:val="0"/>
              <w:keepLines w:val="0"/>
              <w:pageBreakBefore w:val="0"/>
              <w:kinsoku/>
              <w:overflowPunct/>
              <w:topLinePunct w:val="0"/>
              <w:autoSpaceDE/>
              <w:autoSpaceDN/>
              <w:bidi w:val="0"/>
              <w:adjustRightInd/>
              <w:snapToGrid/>
              <w:spacing w:line="380" w:lineRule="exact"/>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宋体" w:hAnsi="宋体" w:eastAsia="宋体"/>
                <w:szCs w:val="21"/>
                <w:lang w:eastAsia="zh-CN"/>
              </w:rPr>
            </w:pPr>
            <w:r>
              <w:rPr>
                <w:rFonts w:hint="eastAsia" w:ascii="宋体" w:hAnsi="宋体"/>
                <w:szCs w:val="21"/>
                <w:lang w:eastAsia="zh-CN"/>
              </w:rPr>
              <w:t>三</w:t>
            </w:r>
          </w:p>
        </w:tc>
        <w:tc>
          <w:tcPr>
            <w:tcW w:w="297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综合实力</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59" w:type="dxa"/>
            <w:vMerge w:val="restart"/>
            <w:tcBorders>
              <w:top w:val="single" w:color="auto" w:sz="4" w:space="0"/>
              <w:left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序号</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评分因素</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权重</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80" w:lineRule="exact"/>
              <w:jc w:val="lef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ascii="宋体" w:hAnsi="宋体"/>
                <w:szCs w:val="21"/>
              </w:rPr>
              <w:t>1</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投标人通过相关认证</w:t>
            </w:r>
            <w:r>
              <w:rPr>
                <w:rFonts w:hint="eastAsia" w:ascii="宋体" w:hAnsi="宋体"/>
                <w:szCs w:val="21"/>
                <w:lang w:eastAsia="zh-CN"/>
              </w:rPr>
              <w:t>、备案、评价</w:t>
            </w:r>
            <w:r>
              <w:rPr>
                <w:rFonts w:hint="eastAsia" w:ascii="宋体" w:hAnsi="宋体"/>
                <w:szCs w:val="21"/>
              </w:rPr>
              <w:t>情况</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投标人自有检验部门通过省级临床检验中心室间质评，并提供相关质评证书的，得</w:t>
            </w:r>
            <w:r>
              <w:rPr>
                <w:rFonts w:hint="eastAsia" w:asciiTheme="minorEastAsia" w:hAnsiTheme="minorEastAsia" w:eastAsiaTheme="minorEastAsia" w:cstheme="minorEastAsia"/>
                <w:color w:val="auto"/>
                <w:szCs w:val="21"/>
                <w:highlight w:val="none"/>
                <w:lang w:val="en-US" w:eastAsia="zh-CN"/>
              </w:rPr>
              <w:t>50分</w:t>
            </w:r>
            <w:r>
              <w:rPr>
                <w:rFonts w:hint="eastAsia" w:asciiTheme="minorEastAsia" w:hAnsiTheme="minorEastAsia" w:eastAsiaTheme="minorEastAsia" w:cstheme="minorEastAsia"/>
                <w:color w:val="auto"/>
                <w:szCs w:val="21"/>
                <w:highlight w:val="none"/>
                <w:lang w:eastAsia="zh-CN"/>
              </w:rPr>
              <w:t>；</w:t>
            </w:r>
          </w:p>
          <w:p>
            <w:pPr>
              <w:pStyle w:val="10"/>
              <w:keepNext w:val="0"/>
              <w:keepLines w:val="0"/>
              <w:pageBreakBefore w:val="0"/>
              <w:numPr>
                <w:ilvl w:val="0"/>
                <w:numId w:val="2"/>
              </w:numPr>
              <w:kinsoku/>
              <w:overflowPunct/>
              <w:topLinePunct w:val="0"/>
              <w:autoSpaceDE/>
              <w:autoSpaceDN/>
              <w:bidi w:val="0"/>
              <w:spacing w:line="380" w:lineRule="exac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投标人检验部门通过省二级病原微生物实验室备案，并提供相关备案证明资料的，得50分；</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（二）评分依据：</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1.要求提供有效的认证证书作为得分依据。</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2.以上资料均要求提供扫描件（或官方网站截图，截图应包含网址栏），原件备查。评分中出现无证明资料或专家无法凭所提供资料判断是否得分的情况，一律作不得分处理。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59"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80" w:lineRule="exact"/>
              <w:jc w:val="lef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宋体" w:hAnsi="宋体" w:eastAsia="宋体"/>
                <w:szCs w:val="21"/>
                <w:lang w:eastAsia="zh-CN"/>
              </w:rPr>
            </w:pPr>
            <w:r>
              <w:rPr>
                <w:rFonts w:hint="eastAsia" w:ascii="宋体" w:hAnsi="宋体"/>
                <w:szCs w:val="21"/>
                <w:lang w:val="en-US" w:eastAsia="zh-CN"/>
              </w:rPr>
              <w:t>2</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投标人获奖情况</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default" w:ascii="宋体" w:hAnsi="宋体" w:eastAsia="宋体"/>
                <w:szCs w:val="21"/>
                <w:lang w:val="en-US" w:eastAsia="zh-CN"/>
              </w:rPr>
            </w:pPr>
            <w:r>
              <w:rPr>
                <w:rFonts w:hint="eastAsia" w:ascii="宋体" w:hAnsi="宋体"/>
                <w:szCs w:val="21"/>
                <w:lang w:val="en-US" w:eastAsia="zh-CN"/>
              </w:rPr>
              <w:t>8</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eastAsia="zh-CN"/>
              </w:rPr>
              <w:t>投标人获得政府部门或行业协会颁发的荣誉证书的，每提供</w:t>
            </w:r>
            <w:r>
              <w:rPr>
                <w:rFonts w:hint="eastAsia" w:asciiTheme="minorEastAsia" w:hAnsiTheme="minorEastAsia" w:eastAsiaTheme="minorEastAsia" w:cstheme="minorEastAsia"/>
                <w:szCs w:val="21"/>
                <w:highlight w:val="none"/>
                <w:lang w:val="en-US" w:eastAsia="zh-CN"/>
              </w:rPr>
              <w:t>1项得50分，满分为100分。</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（二）评分依据：</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1.要求提供奖项照片或获奖（荣誉）证书等证明材料作为得分依据。</w:t>
            </w:r>
            <w:bookmarkStart w:id="0" w:name="_GoBack"/>
            <w:bookmarkEnd w:id="0"/>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59"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80" w:lineRule="exact"/>
              <w:jc w:val="lef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投标人</w:t>
            </w:r>
            <w:r>
              <w:rPr>
                <w:rFonts w:hint="eastAsia" w:ascii="宋体" w:hAnsi="宋体"/>
                <w:szCs w:val="21"/>
                <w:lang w:eastAsia="zh-CN"/>
              </w:rPr>
              <w:t>智慧化、信息化</w:t>
            </w:r>
            <w:r>
              <w:rPr>
                <w:rFonts w:hint="eastAsia" w:ascii="宋体" w:hAnsi="宋体"/>
                <w:szCs w:val="21"/>
              </w:rPr>
              <w:t>产品情况</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eastAsia="zh-CN"/>
              </w:rPr>
              <w:t>投标人具备体检公众号或微信小程序或</w:t>
            </w:r>
            <w:r>
              <w:rPr>
                <w:rFonts w:hint="eastAsia" w:asciiTheme="minorEastAsia" w:hAnsiTheme="minorEastAsia" w:eastAsiaTheme="minorEastAsia" w:cstheme="minorEastAsia"/>
                <w:szCs w:val="21"/>
                <w:highlight w:val="none"/>
                <w:lang w:val="en-US" w:eastAsia="zh-CN"/>
              </w:rPr>
              <w:t>APP，得60分。</w:t>
            </w:r>
          </w:p>
          <w:p>
            <w:pPr>
              <w:keepNext w:val="0"/>
              <w:keepLines w:val="0"/>
              <w:pageBreakBefore w:val="0"/>
              <w:numPr>
                <w:ilvl w:val="0"/>
                <w:numId w:val="0"/>
              </w:numPr>
              <w:kinsoku/>
              <w:overflowPunct/>
              <w:topLinePunct w:val="0"/>
              <w:autoSpaceDE/>
              <w:autoSpaceDN/>
              <w:bidi w:val="0"/>
              <w:spacing w:after="160" w:line="380" w:lineRule="exact"/>
              <w:ind w:leftChars="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2.公众号或</w:t>
            </w:r>
            <w:r>
              <w:rPr>
                <w:rFonts w:hint="eastAsia" w:asciiTheme="minorEastAsia" w:hAnsiTheme="minorEastAsia" w:eastAsiaTheme="minorEastAsia" w:cstheme="minorEastAsia"/>
                <w:szCs w:val="21"/>
                <w:highlight w:val="none"/>
                <w:lang w:eastAsia="zh-CN"/>
              </w:rPr>
              <w:t>小程序或</w:t>
            </w:r>
            <w:r>
              <w:rPr>
                <w:rFonts w:hint="eastAsia" w:asciiTheme="minorEastAsia" w:hAnsiTheme="minorEastAsia" w:eastAsiaTheme="minorEastAsia" w:cstheme="minorEastAsia"/>
                <w:szCs w:val="21"/>
                <w:highlight w:val="none"/>
                <w:lang w:val="en-US" w:eastAsia="zh-CN"/>
              </w:rPr>
              <w:t>APP</w:t>
            </w:r>
            <w:r>
              <w:rPr>
                <w:rFonts w:hint="eastAsia" w:asciiTheme="minorEastAsia" w:hAnsiTheme="minorEastAsia" w:eastAsiaTheme="minorEastAsia" w:cstheme="minorEastAsia"/>
                <w:szCs w:val="21"/>
                <w:highlight w:val="none"/>
                <w:lang w:eastAsia="zh-CN"/>
              </w:rPr>
              <w:t>具备分时段体检预约功能的，得</w:t>
            </w:r>
            <w:r>
              <w:rPr>
                <w:rFonts w:hint="eastAsia" w:asciiTheme="minorEastAsia" w:hAnsiTheme="minorEastAsia" w:eastAsiaTheme="minorEastAsia" w:cstheme="minorEastAsia"/>
                <w:szCs w:val="21"/>
                <w:highlight w:val="none"/>
                <w:lang w:val="en-US" w:eastAsia="zh-CN"/>
              </w:rPr>
              <w:t>40分</w:t>
            </w:r>
            <w:r>
              <w:rPr>
                <w:rFonts w:hint="eastAsia" w:asciiTheme="minorEastAsia" w:hAnsiTheme="minorEastAsia" w:eastAsiaTheme="minorEastAsia" w:cstheme="minorEastAsia"/>
                <w:szCs w:val="21"/>
                <w:highlight w:val="none"/>
                <w:lang w:eastAsia="zh-CN"/>
              </w:rPr>
              <w:t>。</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（二）评分依据:</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1.要求提供有效的证明材料作为得分依据。</w:t>
            </w:r>
          </w:p>
          <w:p>
            <w:pPr>
              <w:keepNext w:val="0"/>
              <w:keepLines w:val="0"/>
              <w:pageBreakBefore w:val="0"/>
              <w:kinsoku/>
              <w:overflowPunct/>
              <w:topLinePunct w:val="0"/>
              <w:autoSpaceDE/>
              <w:autoSpaceDN/>
              <w:bidi w:val="0"/>
              <w:spacing w:after="160" w:line="38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2.以上资料均要求提供扫描件（或官方网站截图，截图应包含网址栏），原件备查。评分中出现无证明资料或专家无法凭所提供资料判断是否得分的情况，一律作不得分处理。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59"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80" w:lineRule="exact"/>
              <w:jc w:val="lef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项目拟使用的</w:t>
            </w:r>
            <w:r>
              <w:rPr>
                <w:rFonts w:hint="eastAsia" w:ascii="宋体" w:hAnsi="宋体"/>
                <w:szCs w:val="21"/>
                <w:lang w:eastAsia="zh-CN"/>
              </w:rPr>
              <w:t>设备</w:t>
            </w:r>
            <w:r>
              <w:rPr>
                <w:rFonts w:hint="eastAsia" w:ascii="宋体" w:hAnsi="宋体"/>
                <w:szCs w:val="21"/>
              </w:rPr>
              <w:t>情况</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5</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（一）评分内容：</w:t>
            </w:r>
          </w:p>
          <w:p>
            <w:pPr>
              <w:keepNext w:val="0"/>
              <w:keepLines w:val="0"/>
              <w:pageBreakBefore w:val="0"/>
              <w:kinsoku/>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投标人自有或租赁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14:textFill>
                  <w14:solidFill>
                    <w14:schemeClr w14:val="tx1"/>
                  </w14:solidFill>
                </w14:textFill>
              </w:rPr>
              <w:t>类医疗器械每提供一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个</w:t>
            </w:r>
            <w:r>
              <w:rPr>
                <w:rFonts w:hint="eastAsia" w:asciiTheme="minorEastAsia" w:hAnsiTheme="minorEastAsia" w:eastAsiaTheme="minorEastAsia" w:cstheme="minorEastAsia"/>
                <w:color w:val="000000" w:themeColor="text1"/>
                <w:sz w:val="21"/>
                <w:szCs w:val="21"/>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满分100分</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2"/>
              <w:keepNext w:val="0"/>
              <w:keepLines w:val="0"/>
              <w:pageBreakBefore w:val="0"/>
              <w:kinsoku/>
              <w:overflowPunct/>
              <w:topLinePunct w:val="0"/>
              <w:autoSpaceDE/>
              <w:autoSpaceDN/>
              <w:bidi w:val="0"/>
              <w:adjustRightInd/>
              <w:snapToGrid/>
              <w:spacing w:line="380" w:lineRule="exac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（二）评分依据：</w:t>
            </w:r>
          </w:p>
          <w:p>
            <w:pPr>
              <w:keepNext w:val="0"/>
              <w:keepLines w:val="0"/>
              <w:pageBreakBefore w:val="0"/>
              <w:kinsoku/>
              <w:overflowPunct/>
              <w:topLinePunct w:val="0"/>
              <w:autoSpaceDE/>
              <w:autoSpaceDN/>
              <w:bidi w:val="0"/>
              <w:spacing w:line="380" w:lineRule="exact"/>
              <w:jc w:val="left"/>
              <w:rPr>
                <w:rFonts w:ascii="宋体" w:hAnsi="宋体"/>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投标人需提供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诊疗</w:t>
            </w:r>
            <w:r>
              <w:rPr>
                <w:rFonts w:hint="eastAsia" w:asciiTheme="minorEastAsia" w:hAnsiTheme="minorEastAsia" w:eastAsiaTheme="minorEastAsia" w:cstheme="minorEastAsia"/>
                <w:color w:val="000000" w:themeColor="text1"/>
                <w:sz w:val="21"/>
                <w:szCs w:val="21"/>
                <w14:textFill>
                  <w14:solidFill>
                    <w14:schemeClr w14:val="tx1"/>
                  </w14:solidFill>
                </w14:textFill>
              </w:rPr>
              <w:t>许可证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或医疗器械许可证</w:t>
            </w:r>
            <w:r>
              <w:rPr>
                <w:rFonts w:hint="eastAsia" w:asciiTheme="minorEastAsia" w:hAnsiTheme="minorEastAsia" w:eastAsiaTheme="minorEastAsia" w:cstheme="minorEastAsia"/>
                <w:color w:val="000000" w:themeColor="text1"/>
                <w:sz w:val="21"/>
                <w:szCs w:val="21"/>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备案通知书的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扫描</w:t>
            </w:r>
            <w:r>
              <w:rPr>
                <w:rFonts w:hint="eastAsia" w:asciiTheme="minorEastAsia" w:hAnsiTheme="minorEastAsia" w:eastAsiaTheme="minorEastAsia" w:cstheme="minorEastAsia"/>
                <w:color w:val="000000" w:themeColor="text1"/>
                <w:sz w:val="21"/>
                <w:szCs w:val="21"/>
                <w14:textFill>
                  <w14:solidFill>
                    <w14:schemeClr w14:val="tx1"/>
                  </w14:solidFill>
                </w14:textFill>
              </w:rPr>
              <w:t>件作为得分依据。不提供不得分。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59"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80" w:lineRule="exact"/>
              <w:ind w:firstLine="105" w:firstLineChars="50"/>
              <w:jc w:val="lef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hint="eastAsia" w:ascii="宋体" w:hAnsi="宋体"/>
                <w:szCs w:val="21"/>
              </w:rPr>
              <w:t>服务网点</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宋体" w:hAnsi="宋体" w:eastAsia="宋体"/>
                <w:szCs w:val="21"/>
                <w:lang w:eastAsia="zh-CN"/>
              </w:rPr>
            </w:pPr>
            <w:r>
              <w:rPr>
                <w:rFonts w:hint="eastAsia" w:ascii="宋体" w:hAnsi="宋体"/>
                <w:szCs w:val="21"/>
                <w:lang w:val="en-US" w:eastAsia="zh-CN"/>
              </w:rPr>
              <w:t>2</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left"/>
              <w:rPr>
                <w:rFonts w:ascii="宋体" w:hAnsi="宋体"/>
                <w:szCs w:val="21"/>
              </w:rPr>
            </w:pPr>
            <w:r>
              <w:rPr>
                <w:rFonts w:hint="eastAsia" w:ascii="宋体" w:hAnsi="宋体"/>
                <w:szCs w:val="21"/>
              </w:rPr>
              <w:t>1</w:t>
            </w:r>
            <w:r>
              <w:rPr>
                <w:rFonts w:hint="eastAsia" w:ascii="宋体" w:hAnsi="宋体"/>
                <w:szCs w:val="21"/>
                <w:lang w:val="en-US" w:eastAsia="zh-CN"/>
              </w:rPr>
              <w:t>.</w:t>
            </w:r>
            <w:r>
              <w:rPr>
                <w:rFonts w:ascii="宋体" w:hAnsi="宋体"/>
                <w:szCs w:val="21"/>
              </w:rPr>
              <w:t>深圳</w:t>
            </w:r>
            <w:r>
              <w:rPr>
                <w:rFonts w:hint="eastAsia" w:ascii="宋体" w:hAnsi="宋体"/>
                <w:szCs w:val="21"/>
                <w:lang w:eastAsia="zh-CN"/>
              </w:rPr>
              <w:t>投标人</w:t>
            </w:r>
            <w:r>
              <w:rPr>
                <w:rFonts w:ascii="宋体" w:hAnsi="宋体"/>
                <w:szCs w:val="21"/>
              </w:rPr>
              <w:t>，或非深圳</w:t>
            </w:r>
            <w:r>
              <w:rPr>
                <w:rFonts w:hint="eastAsia" w:ascii="宋体" w:hAnsi="宋体"/>
                <w:szCs w:val="21"/>
                <w:lang w:eastAsia="zh-CN"/>
              </w:rPr>
              <w:t>投标人</w:t>
            </w:r>
            <w:r>
              <w:rPr>
                <w:rFonts w:ascii="宋体" w:hAnsi="宋体"/>
                <w:szCs w:val="21"/>
              </w:rPr>
              <w:t>但在深圳有合法注册的分公司</w:t>
            </w:r>
            <w:r>
              <w:rPr>
                <w:rFonts w:hint="eastAsia" w:ascii="宋体" w:hAnsi="宋体"/>
                <w:szCs w:val="21"/>
              </w:rPr>
              <w:t>（或售后机构）</w:t>
            </w:r>
            <w:r>
              <w:rPr>
                <w:rFonts w:ascii="宋体" w:hAnsi="宋体"/>
                <w:szCs w:val="21"/>
              </w:rPr>
              <w:t>（</w:t>
            </w:r>
            <w:r>
              <w:rPr>
                <w:rFonts w:hint="eastAsia" w:ascii="宋体" w:hAnsi="宋体"/>
                <w:szCs w:val="21"/>
              </w:rPr>
              <w:t>分公司的</w:t>
            </w:r>
            <w:r>
              <w:rPr>
                <w:rFonts w:ascii="宋体" w:hAnsi="宋体"/>
                <w:szCs w:val="21"/>
              </w:rPr>
              <w:t>必须提供分公司营业执照扫描件</w:t>
            </w:r>
            <w:r>
              <w:rPr>
                <w:rFonts w:hint="eastAsia" w:ascii="宋体" w:hAnsi="宋体"/>
                <w:szCs w:val="21"/>
              </w:rPr>
              <w:t>，售后机构必须同时提供售后服务合作合同及售后机构营业执照扫描件作为得分依据</w:t>
            </w:r>
            <w:r>
              <w:rPr>
                <w:rFonts w:ascii="宋体" w:hAnsi="宋体"/>
                <w:szCs w:val="21"/>
              </w:rPr>
              <w:t>，原件备查）的，得100分</w:t>
            </w:r>
            <w:r>
              <w:rPr>
                <w:rFonts w:hint="eastAsia" w:ascii="宋体" w:hAnsi="宋体"/>
                <w:szCs w:val="21"/>
                <w:lang w:eastAsia="zh-CN"/>
              </w:rPr>
              <w:t>，</w:t>
            </w:r>
            <w:r>
              <w:rPr>
                <w:rFonts w:ascii="宋体" w:hAnsi="宋体"/>
                <w:szCs w:val="21"/>
              </w:rPr>
              <w:t>否则不得分</w:t>
            </w:r>
            <w:r>
              <w:rPr>
                <w:rFonts w:hint="eastAsia" w:ascii="宋体" w:hAnsi="宋体"/>
                <w:szCs w:val="21"/>
              </w:rPr>
              <w:t>。</w:t>
            </w:r>
          </w:p>
          <w:p>
            <w:pPr>
              <w:keepNext w:val="0"/>
              <w:keepLines w:val="0"/>
              <w:pageBreakBefore w:val="0"/>
              <w:kinsoku/>
              <w:overflowPunct/>
              <w:topLinePunct w:val="0"/>
              <w:autoSpaceDE/>
              <w:autoSpaceDN/>
              <w:bidi w:val="0"/>
              <w:spacing w:line="380" w:lineRule="exact"/>
              <w:jc w:val="left"/>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外地</w:t>
            </w:r>
            <w:r>
              <w:rPr>
                <w:rFonts w:hint="eastAsia" w:ascii="宋体" w:hAnsi="宋体"/>
                <w:szCs w:val="21"/>
                <w:lang w:eastAsia="zh-CN"/>
              </w:rPr>
              <w:t>投标人</w:t>
            </w:r>
            <w:r>
              <w:rPr>
                <w:rFonts w:hint="eastAsia" w:ascii="宋体" w:hAnsi="宋体"/>
                <w:szCs w:val="21"/>
              </w:rPr>
              <w:t>承诺：中标后设立本地经营（服务）网点的，提供承诺文件（格式自定）的，</w:t>
            </w:r>
            <w:r>
              <w:rPr>
                <w:rFonts w:hint="eastAsia" w:ascii="宋体" w:hAnsi="宋体"/>
                <w:szCs w:val="21"/>
                <w:highlight w:val="none"/>
              </w:rPr>
              <w:t>得</w:t>
            </w:r>
            <w:r>
              <w:rPr>
                <w:rFonts w:hint="eastAsia" w:ascii="宋体" w:hAnsi="宋体"/>
                <w:szCs w:val="21"/>
                <w:highlight w:val="none"/>
                <w:u w:val="none"/>
                <w:lang w:val="en-US" w:eastAsia="zh-CN"/>
              </w:rPr>
              <w:t>100</w:t>
            </w:r>
            <w:r>
              <w:rPr>
                <w:rFonts w:hint="eastAsia" w:ascii="宋体" w:hAnsi="宋体"/>
                <w:szCs w:val="21"/>
                <w:highlight w:val="none"/>
              </w:rPr>
              <w:t>分；</w:t>
            </w:r>
            <w:r>
              <w:rPr>
                <w:rFonts w:hint="eastAsia" w:ascii="宋体" w:hAnsi="宋体"/>
                <w:szCs w:val="21"/>
              </w:rPr>
              <w:t>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5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宋体" w:hAnsi="宋体" w:eastAsia="宋体"/>
                <w:szCs w:val="21"/>
                <w:lang w:eastAsia="zh-CN"/>
              </w:rPr>
            </w:pPr>
            <w:r>
              <w:rPr>
                <w:rFonts w:hint="eastAsia" w:ascii="宋体" w:hAnsi="宋体"/>
                <w:szCs w:val="21"/>
                <w:lang w:eastAsia="zh-CN"/>
              </w:rPr>
              <w:t>四</w:t>
            </w:r>
          </w:p>
        </w:tc>
        <w:tc>
          <w:tcPr>
            <w:tcW w:w="297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highlight w:val="none"/>
              </w:rPr>
            </w:pPr>
            <w:r>
              <w:rPr>
                <w:rFonts w:hint="eastAsia" w:ascii="宋体" w:hAnsi="宋体"/>
                <w:szCs w:val="21"/>
                <w:highlight w:val="none"/>
              </w:rPr>
              <w:t>诚信情况</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59" w:type="dxa"/>
            <w:vMerge w:val="restart"/>
            <w:tcBorders>
              <w:top w:val="single" w:color="auto" w:sz="4" w:space="0"/>
              <w:left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380" w:lineRule="exact"/>
              <w:jc w:val="center"/>
              <w:rPr>
                <w:rFonts w:ascii="宋体" w:hAnsi="宋体" w:cs="宋体"/>
                <w:szCs w:val="21"/>
              </w:rPr>
            </w:pPr>
            <w:r>
              <w:rPr>
                <w:rFonts w:ascii="宋体" w:hAnsi="宋体"/>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380" w:lineRule="exact"/>
              <w:jc w:val="center"/>
              <w:rPr>
                <w:rFonts w:ascii="宋体" w:hAnsi="宋体" w:cs="宋体"/>
                <w:szCs w:val="21"/>
              </w:rPr>
            </w:pPr>
            <w:r>
              <w:rPr>
                <w:rFonts w:ascii="宋体" w:hAnsi="宋体"/>
                <w:szCs w:val="21"/>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380" w:lineRule="exact"/>
              <w:jc w:val="center"/>
              <w:rPr>
                <w:rFonts w:ascii="宋体" w:hAnsi="宋体"/>
                <w:szCs w:val="21"/>
              </w:rPr>
            </w:pPr>
            <w:r>
              <w:rPr>
                <w:rFonts w:ascii="宋体" w:hAnsi="宋体"/>
                <w:szCs w:val="21"/>
              </w:rPr>
              <w:t>权重</w:t>
            </w:r>
          </w:p>
          <w:p>
            <w:pPr>
              <w:keepNext w:val="0"/>
              <w:keepLines w:val="0"/>
              <w:pageBreakBefore w:val="0"/>
              <w:kinsoku/>
              <w:wordWrap w:val="0"/>
              <w:overflowPunct/>
              <w:topLinePunct w:val="0"/>
              <w:autoSpaceDE/>
              <w:autoSpaceDN/>
              <w:bidi w:val="0"/>
              <w:spacing w:line="380" w:lineRule="exact"/>
              <w:jc w:val="center"/>
              <w:rPr>
                <w:rFonts w:ascii="宋体" w:hAnsi="宋体" w:cs="宋体"/>
                <w:szCs w:val="21"/>
              </w:rPr>
            </w:pPr>
            <w:r>
              <w:rPr>
                <w:rFonts w:hint="eastAsia" w:ascii="宋体" w:hAnsi="宋体"/>
                <w:szCs w:val="21"/>
              </w:rPr>
              <w:t>（%）</w:t>
            </w:r>
          </w:p>
        </w:tc>
        <w:tc>
          <w:tcPr>
            <w:tcW w:w="5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380" w:lineRule="exact"/>
              <w:jc w:val="center"/>
              <w:rPr>
                <w:rFonts w:ascii="宋体" w:hAnsi="宋体" w:cs="宋体"/>
                <w:szCs w:val="21"/>
              </w:rPr>
            </w:pPr>
            <w:r>
              <w:rPr>
                <w:rFonts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59" w:type="dxa"/>
            <w:vMerge w:val="continue"/>
            <w:tcBorders>
              <w:left w:val="single" w:color="auto" w:sz="4" w:space="0"/>
              <w:right w:val="single" w:color="auto" w:sz="4" w:space="0"/>
            </w:tcBorders>
          </w:tcPr>
          <w:p>
            <w:pPr>
              <w:keepNext w:val="0"/>
              <w:keepLines w:val="0"/>
              <w:pageBreakBefore w:val="0"/>
              <w:kinsoku/>
              <w:overflowPunct/>
              <w:topLinePunct w:val="0"/>
              <w:autoSpaceDE/>
              <w:autoSpaceDN/>
              <w:bidi w:val="0"/>
              <w:spacing w:line="380" w:lineRule="exac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380" w:lineRule="exact"/>
              <w:jc w:val="center"/>
              <w:rPr>
                <w:rFonts w:ascii="宋体" w:hAnsi="宋体" w:cs="宋体"/>
                <w:szCs w:val="21"/>
              </w:rPr>
            </w:pPr>
            <w:r>
              <w:rPr>
                <w:rFonts w:ascii="宋体" w:hAnsi="宋体"/>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80" w:lineRule="exact"/>
              <w:jc w:val="center"/>
              <w:rPr>
                <w:rFonts w:ascii="宋体" w:hAnsi="宋体"/>
                <w:szCs w:val="21"/>
              </w:rPr>
            </w:pPr>
            <w:r>
              <w:rPr>
                <w:rFonts w:ascii="宋体" w:hAnsi="宋体"/>
                <w:szCs w:val="21"/>
              </w:rPr>
              <w:t>诚信情况</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380" w:lineRule="exact"/>
              <w:jc w:val="center"/>
              <w:rPr>
                <w:rFonts w:hint="eastAsia" w:ascii="宋体" w:hAnsi="宋体" w:eastAsia="宋体" w:cs="宋体"/>
                <w:szCs w:val="21"/>
                <w:lang w:eastAsia="zh-CN"/>
              </w:rPr>
            </w:pPr>
            <w:r>
              <w:rPr>
                <w:rFonts w:hint="eastAsia" w:ascii="宋体" w:hAnsi="宋体"/>
                <w:szCs w:val="21"/>
                <w:lang w:val="en-US" w:eastAsia="zh-CN"/>
              </w:rPr>
              <w:t>5</w:t>
            </w:r>
          </w:p>
        </w:tc>
        <w:tc>
          <w:tcPr>
            <w:tcW w:w="540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80" w:lineRule="exact"/>
              <w:rPr>
                <w:rFonts w:ascii="宋体" w:hAnsi="宋体" w:cs="宋体"/>
                <w:szCs w:val="21"/>
              </w:rPr>
            </w:pPr>
            <w:r>
              <w:rPr>
                <w:rFonts w:hint="eastAsia" w:ascii="宋体" w:hAnsi="宋体" w:eastAsia="宋体" w:cs="宋体"/>
                <w:szCs w:val="21"/>
              </w:rPr>
              <w:t>根据《深圳市财政局关于印发&lt;深圳市财政局政府采购</w:t>
            </w:r>
            <w:r>
              <w:rPr>
                <w:rFonts w:hint="eastAsia" w:ascii="宋体" w:hAnsi="宋体" w:cs="宋体"/>
                <w:szCs w:val="21"/>
                <w:lang w:eastAsia="zh-CN"/>
              </w:rPr>
              <w:t>投标人</w:t>
            </w:r>
            <w:r>
              <w:rPr>
                <w:rFonts w:hint="eastAsia" w:ascii="宋体" w:hAnsi="宋体" w:eastAsia="宋体" w:cs="宋体"/>
                <w:szCs w:val="21"/>
              </w:rPr>
              <w:t>信用信息管理办法&gt;的通知》（深财规〔2023〕3号）相关规定，如</w:t>
            </w:r>
            <w:r>
              <w:rPr>
                <w:rFonts w:hint="eastAsia" w:ascii="宋体" w:hAnsi="宋体" w:cs="宋体"/>
                <w:szCs w:val="21"/>
                <w:lang w:eastAsia="zh-CN"/>
              </w:rPr>
              <w:t>投标人</w:t>
            </w:r>
            <w:r>
              <w:rPr>
                <w:rFonts w:hint="eastAsia" w:ascii="宋体" w:hAnsi="宋体" w:eastAsia="宋体" w:cs="宋体"/>
                <w:szCs w:val="21"/>
              </w:rPr>
              <w:t>在全国范围内存在因政府采购违法、违规行为受到财政部门罚款等一般行政处罚信息，或者存在该办法第十一条所称在本市集中采购活动中的一般违法失信行为记录信息，且在公示期内的，本项不得分，</w:t>
            </w:r>
            <w:r>
              <w:rPr>
                <w:rFonts w:hint="eastAsia" w:ascii="宋体" w:hAnsi="宋体" w:cs="宋体"/>
                <w:szCs w:val="21"/>
                <w:lang w:eastAsia="zh-CN"/>
              </w:rPr>
              <w:t>如无上述情况</w:t>
            </w:r>
            <w:r>
              <w:rPr>
                <w:rFonts w:hint="eastAsia" w:ascii="宋体" w:hAnsi="宋体" w:eastAsia="宋体" w:cs="宋体"/>
                <w:szCs w:val="21"/>
              </w:rPr>
              <w:t>则得100分。（采购代理机构通过“信用中国”、“中国政府采购网”、“深圳市政府采购监管网”以及市、区财政部门认定的其他渠道查询</w:t>
            </w:r>
            <w:r>
              <w:rPr>
                <w:rFonts w:hint="eastAsia" w:ascii="宋体" w:hAnsi="宋体" w:cs="宋体"/>
                <w:szCs w:val="21"/>
                <w:lang w:eastAsia="zh-CN"/>
              </w:rPr>
              <w:t>投标人</w:t>
            </w:r>
            <w:r>
              <w:rPr>
                <w:rFonts w:hint="eastAsia" w:ascii="宋体" w:hAnsi="宋体" w:eastAsia="宋体" w:cs="宋体"/>
                <w:szCs w:val="21"/>
              </w:rPr>
              <w:t>信用信息，投标人无需提供证明材料。）</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E3EF4"/>
    <w:multiLevelType w:val="singleLevel"/>
    <w:tmpl w:val="E4EE3EF4"/>
    <w:lvl w:ilvl="0" w:tentative="0">
      <w:start w:val="2"/>
      <w:numFmt w:val="chineseCounting"/>
      <w:suff w:val="nothing"/>
      <w:lvlText w:val="（%1）"/>
      <w:lvlJc w:val="left"/>
      <w:rPr>
        <w:rFonts w:hint="eastAsia"/>
      </w:rPr>
    </w:lvl>
  </w:abstractNum>
  <w:abstractNum w:abstractNumId="1">
    <w:nsid w:val="E7CFF922"/>
    <w:multiLevelType w:val="singleLevel"/>
    <w:tmpl w:val="E7CFF92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76091"/>
    <w:rsid w:val="13FFA64B"/>
    <w:rsid w:val="1FF62491"/>
    <w:rsid w:val="1FF9C5E6"/>
    <w:rsid w:val="3F7D0C40"/>
    <w:rsid w:val="3FED3F17"/>
    <w:rsid w:val="3FFF1D0B"/>
    <w:rsid w:val="55BFFDB2"/>
    <w:rsid w:val="55D7B039"/>
    <w:rsid w:val="5BF746CE"/>
    <w:rsid w:val="5DFC8557"/>
    <w:rsid w:val="5FAF3FD5"/>
    <w:rsid w:val="6EEED390"/>
    <w:rsid w:val="6FB90520"/>
    <w:rsid w:val="6FBE5F06"/>
    <w:rsid w:val="7E56D247"/>
    <w:rsid w:val="7EB76091"/>
    <w:rsid w:val="7EBF3A64"/>
    <w:rsid w:val="7FFA2FE9"/>
    <w:rsid w:val="B79B80D6"/>
    <w:rsid w:val="B7F8E69C"/>
    <w:rsid w:val="BF7B138A"/>
    <w:rsid w:val="CFFFE5DE"/>
    <w:rsid w:val="DF67542F"/>
    <w:rsid w:val="DFDD5E02"/>
    <w:rsid w:val="EDFCC606"/>
    <w:rsid w:val="F6533DC3"/>
    <w:rsid w:val="F7ABA406"/>
    <w:rsid w:val="F7DFA589"/>
    <w:rsid w:val="F7FD0E90"/>
    <w:rsid w:val="FACB5A26"/>
    <w:rsid w:val="FB7B5299"/>
    <w:rsid w:val="FBB9D973"/>
    <w:rsid w:val="FBDF0866"/>
    <w:rsid w:val="FD3E4187"/>
    <w:rsid w:val="FFFFE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4">
    <w:name w:val="annotation text"/>
    <w:basedOn w:val="1"/>
    <w:semiHidden/>
    <w:qFormat/>
    <w:uiPriority w:val="99"/>
    <w:pPr>
      <w:autoSpaceDE w:val="0"/>
      <w:autoSpaceDN w:val="0"/>
      <w:adjustRightInd w:val="0"/>
      <w:jc w:val="left"/>
      <w:textAlignment w:val="baseline"/>
    </w:pPr>
    <w:rPr>
      <w:rFonts w:ascii="宋体" w:hAnsi="Times New Roman"/>
      <w:kern w:val="0"/>
      <w:sz w:val="3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qFormat/>
    <w:uiPriority w:val="99"/>
    <w:rPr>
      <w:sz w:val="21"/>
      <w:szCs w:val="21"/>
    </w:rPr>
  </w:style>
  <w:style w:type="paragraph" w:customStyle="1" w:styleId="10">
    <w:name w:val="_Style 1"/>
    <w:qFormat/>
    <w:uiPriority w:val="34"/>
    <w:pPr>
      <w:adjustRightInd w:val="0"/>
      <w:snapToGrid w:val="0"/>
    </w:pPr>
    <w:rPr>
      <w:rFonts w:ascii="Tahoma" w:hAnsi="Tahoma" w:eastAsia="宋体" w:cs="Times New Roman"/>
      <w:sz w:val="22"/>
      <w:szCs w:val="22"/>
      <w:lang w:val="en-US" w:eastAsia="zh-CN" w:bidi="ar-SA"/>
    </w:rPr>
  </w:style>
  <w:style w:type="character" w:customStyle="1" w:styleId="11">
    <w:name w:val="fontstyle01"/>
    <w:basedOn w:val="8"/>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2024-05-04T12:51:00Z</dcterms:created>
  <dc:creator>liuzhihua</dc:creator>
  <cp:lastModifiedBy>lidandan-01-</cp:lastModifiedBy>
  <cp:lastPrinted>2025-04-18T15:33:53Z</cp:lastPrinted>
  <dcterms:modified xsi:type="dcterms:W3CDTF">2025-04-18T15:33:55Z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