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4318C">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深圳前海合作区人民法院</w:t>
      </w:r>
    </w:p>
    <w:p w14:paraId="790B36CE">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rPr>
        <w:t>年工作总结和202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年工作计划</w:t>
      </w:r>
    </w:p>
    <w:p w14:paraId="76861F9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Cs/>
          <w:color w:val="auto"/>
          <w:sz w:val="32"/>
          <w:szCs w:val="32"/>
          <w:highlight w:val="none"/>
        </w:rPr>
      </w:pPr>
    </w:p>
    <w:p w14:paraId="360AEF1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2024年，深圳前海合作区人民法院始终坚持以习近平新时代中国特色社会主义思想为指导，认真学习贯彻党的二十大和二十届二中、三中全会精神，深入贯彻落实习近平总书记视察广东和澳门重要讲话重要指示精神，及省委十三届五次全会、市委七届九次全会精神，紧扣“公正与效率”工作主题，做实做细为大局服务、为人民司法，着力完善涉外司法审判制度，深入推进跨境商事法律规则衔接，高质量建设国际商事争议解决中心，以审判工作现代化支撑和服务中国式现代化，各项工作取得成效。今年，前海法院被最高法院评选为“全国模范法院”。</w:t>
      </w:r>
    </w:p>
    <w:p w14:paraId="7BA820B9">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黑体" w:hAnsi="黑体" w:eastAsia="黑体" w:cs="黑体"/>
          <w:b w:val="0"/>
          <w:bCs/>
          <w:snapToGrid/>
          <w:color w:val="auto"/>
          <w:kern w:val="2"/>
          <w:sz w:val="32"/>
          <w:szCs w:val="32"/>
          <w:highlight w:val="none"/>
          <w:lang w:val="en-US" w:eastAsia="zh-CN"/>
        </w:rPr>
      </w:pPr>
      <w:r>
        <w:rPr>
          <w:rFonts w:hint="eastAsia" w:ascii="黑体" w:hAnsi="黑体" w:eastAsia="黑体" w:cs="黑体"/>
          <w:bCs/>
          <w:color w:val="auto"/>
          <w:sz w:val="32"/>
          <w:szCs w:val="32"/>
          <w:highlight w:val="none"/>
          <w:lang w:val="en-US" w:eastAsia="zh-CN"/>
        </w:rPr>
        <w:t>一、</w:t>
      </w:r>
      <w:r>
        <w:rPr>
          <w:rFonts w:hint="default" w:ascii="黑体" w:hAnsi="黑体" w:eastAsia="黑体" w:cs="黑体"/>
          <w:bCs/>
          <w:color w:val="auto"/>
          <w:sz w:val="32"/>
          <w:szCs w:val="32"/>
          <w:highlight w:val="none"/>
          <w:lang w:val="en-US" w:eastAsia="zh-CN"/>
        </w:rPr>
        <w:t>抓牢政治建设，以更坚定的政治立场引领审判工作现代化纵深发展</w:t>
      </w:r>
    </w:p>
    <w:p w14:paraId="7BFB66E9">
      <w:pPr>
        <w:pStyle w:val="2"/>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color w:val="auto"/>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一以贯之坚定拥护“两个确立”、坚决做到“两个维护”。</w:t>
      </w:r>
      <w:r>
        <w:rPr>
          <w:rFonts w:hint="eastAsia" w:ascii="仿宋_GB2312" w:hAnsi="仿宋_GB2312" w:eastAsia="仿宋_GB2312" w:cs="仿宋_GB2312"/>
          <w:b w:val="0"/>
          <w:bCs w:val="0"/>
          <w:snapToGrid w:val="0"/>
          <w:color w:val="auto"/>
          <w:kern w:val="0"/>
          <w:sz w:val="32"/>
          <w:szCs w:val="32"/>
          <w:highlight w:val="none"/>
          <w:lang w:val="en-US" w:eastAsia="zh-CN"/>
        </w:rPr>
        <w:t>严格落实“第一议题”制度，</w:t>
      </w:r>
      <w:r>
        <w:rPr>
          <w:rFonts w:hint="eastAsia" w:ascii="仿宋_GB2312" w:eastAsia="仿宋_GB2312"/>
          <w:color w:val="auto"/>
          <w:sz w:val="32"/>
          <w:szCs w:val="32"/>
          <w:highlight w:val="none"/>
          <w:lang w:eastAsia="zh-CN"/>
        </w:rPr>
        <w:t>突出抓好政治建设，</w:t>
      </w:r>
      <w:r>
        <w:rPr>
          <w:rFonts w:hint="eastAsia" w:ascii="仿宋_GB2312" w:eastAsia="仿宋_GB2312"/>
          <w:color w:val="auto"/>
          <w:sz w:val="32"/>
          <w:szCs w:val="32"/>
          <w:highlight w:val="none"/>
          <w:lang w:val="en-US" w:eastAsia="zh-CN"/>
        </w:rPr>
        <w:t>明确进一步全面深化改革、服务保障粤港澳大湾区融合发展等重点工作的思路路径。扎实做好政治要件“闭环”，明确专人盯办、及时更新，并监督政治要件在传达学习、落实方面的工作。严格落实重大事项请示报告制度，党组按要求向党委、上级法院党组报送重大事项请示报告。</w:t>
      </w:r>
    </w:p>
    <w:p w14:paraId="3A4E4135">
      <w:pPr>
        <w:pStyle w:val="2"/>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b w:val="0"/>
          <w:bCs w:val="0"/>
          <w:color w:val="auto"/>
          <w:sz w:val="32"/>
          <w:szCs w:val="32"/>
          <w:highlight w:val="none"/>
          <w:lang w:val="en-US" w:eastAsia="zh-CN"/>
        </w:rPr>
      </w:pPr>
      <w:r>
        <w:rPr>
          <w:rFonts w:hint="eastAsia" w:ascii="宋体" w:hAnsi="宋体" w:eastAsia="楷体_GB2312" w:cs="Times New Roman"/>
          <w:b w:val="0"/>
          <w:bCs w:val="0"/>
          <w:color w:val="auto"/>
          <w:sz w:val="32"/>
          <w:szCs w:val="32"/>
          <w:highlight w:val="none"/>
          <w:lang w:val="en-US" w:eastAsia="zh-CN"/>
        </w:rPr>
        <w:t>坚持不懈维护社会安全稳定。</w:t>
      </w:r>
      <w:r>
        <w:rPr>
          <w:rFonts w:hint="eastAsia" w:ascii="仿宋_GB2312" w:eastAsia="仿宋_GB2312"/>
          <w:b w:val="0"/>
          <w:bCs w:val="0"/>
          <w:color w:val="auto"/>
          <w:sz w:val="32"/>
          <w:szCs w:val="32"/>
          <w:highlight w:val="none"/>
          <w:lang w:val="en-US" w:eastAsia="zh-CN"/>
        </w:rPr>
        <w:t>充分发挥平安深圳建设工作领导小组牵头抓总作用，深化各部门、审判团队责任分工，深入开展诉讼和信访案件等</w:t>
      </w:r>
      <w:r>
        <w:rPr>
          <w:rFonts w:hint="eastAsia" w:ascii="仿宋_GB2312" w:eastAsia="仿宋_GB2312"/>
          <w:color w:val="auto"/>
          <w:sz w:val="32"/>
          <w:szCs w:val="32"/>
          <w:highlight w:val="none"/>
        </w:rPr>
        <w:t>风险排查</w:t>
      </w:r>
      <w:r>
        <w:rPr>
          <w:rFonts w:hint="eastAsia" w:ascii="仿宋_GB2312" w:eastAsia="仿宋_GB2312"/>
          <w:b w:val="0"/>
          <w:bCs w:val="0"/>
          <w:color w:val="auto"/>
          <w:sz w:val="32"/>
          <w:szCs w:val="32"/>
          <w:highlight w:val="none"/>
          <w:lang w:val="en-US" w:eastAsia="zh-CN"/>
        </w:rPr>
        <w:t>及</w:t>
      </w:r>
      <w:r>
        <w:rPr>
          <w:rFonts w:hint="eastAsia" w:ascii="仿宋_GB2312" w:eastAsia="仿宋_GB2312"/>
          <w:color w:val="auto"/>
          <w:sz w:val="32"/>
          <w:szCs w:val="32"/>
          <w:highlight w:val="none"/>
          <w:lang w:eastAsia="zh-CN"/>
        </w:rPr>
        <w:t>处置，及时组织研判，切实</w:t>
      </w:r>
      <w:r>
        <w:rPr>
          <w:rFonts w:hint="eastAsia" w:ascii="仿宋_GB2312" w:eastAsia="仿宋_GB2312"/>
          <w:color w:val="auto"/>
          <w:sz w:val="32"/>
          <w:szCs w:val="32"/>
          <w:highlight w:val="none"/>
        </w:rPr>
        <w:t>防范化解风险</w:t>
      </w:r>
      <w:r>
        <w:rPr>
          <w:rFonts w:hint="eastAsia" w:ascii="仿宋_GB2312" w:eastAsia="仿宋_GB2312"/>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严格落实“三同步”工作要求，规范舆情监测管控、宣传信息发布等工作机制。</w:t>
      </w:r>
    </w:p>
    <w:p w14:paraId="138F2634">
      <w:pPr>
        <w:pStyle w:val="2"/>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宋体" w:hAnsi="宋体" w:eastAsia="楷体_GB2312" w:cs="Times New Roman"/>
          <w:color w:val="auto"/>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持之以恒强化党建政治引领。</w:t>
      </w:r>
      <w:r>
        <w:rPr>
          <w:rFonts w:hint="eastAsia" w:ascii="仿宋_GB2312" w:hAnsi="仿宋_GB2312" w:eastAsia="仿宋_GB2312" w:cs="仿宋_GB2312"/>
          <w:b w:val="0"/>
          <w:bCs w:val="0"/>
          <w:i w:val="0"/>
          <w:iCs w:val="0"/>
          <w:snapToGrid w:val="0"/>
          <w:color w:val="auto"/>
          <w:kern w:val="0"/>
          <w:sz w:val="32"/>
          <w:szCs w:val="32"/>
          <w:highlight w:val="none"/>
          <w:lang w:val="en-US" w:eastAsia="zh-CN"/>
        </w:rPr>
        <w:t>充实“三会一课”内容，组织开展党员过“政治生日”“两优一先”评选等活动，持续强化党员干警的责任意识、使命意识。2024年，院领导、各党支部书记讲专题党课9次，各党支部召开支委会63次，开展集中学习讨论118次。与市中级法院商事审判庭党支部等扎实开展联学共建4次，实现党建与审判业务融合“双驱动”。2024年，审判管理办公室党支部获评全市法院“四强五好”党支部。</w:t>
      </w:r>
    </w:p>
    <w:p w14:paraId="6751EB41">
      <w:pPr>
        <w:pStyle w:val="2"/>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lang w:val="en-US" w:eastAsia="zh-CN"/>
        </w:rPr>
        <w:t>、</w:t>
      </w:r>
      <w:r>
        <w:rPr>
          <w:rFonts w:hint="default" w:ascii="黑体" w:hAnsi="黑体" w:eastAsia="黑体" w:cs="黑体"/>
          <w:bCs/>
          <w:color w:val="auto"/>
          <w:sz w:val="32"/>
          <w:szCs w:val="32"/>
          <w:highlight w:val="none"/>
          <w:lang w:val="en-US" w:eastAsia="zh-CN"/>
        </w:rPr>
        <w:t>做实公正效率，以更高质效审判工作抓好主责主业</w:t>
      </w:r>
    </w:p>
    <w:p w14:paraId="297E0148">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eastAsia="zh-CN"/>
        </w:rPr>
        <w:t>依法</w:t>
      </w:r>
      <w:r>
        <w:rPr>
          <w:rFonts w:hint="eastAsia" w:ascii="宋体" w:hAnsi="宋体" w:eastAsia="楷体_GB2312" w:cs="Times New Roman"/>
          <w:b w:val="0"/>
          <w:bCs w:val="0"/>
          <w:snapToGrid/>
          <w:color w:val="auto"/>
          <w:kern w:val="2"/>
          <w:sz w:val="32"/>
          <w:szCs w:val="32"/>
          <w:highlight w:val="none"/>
          <w:lang w:val="en-US" w:eastAsia="zh-CN"/>
        </w:rPr>
        <w:t>高效</w:t>
      </w:r>
      <w:r>
        <w:rPr>
          <w:rFonts w:hint="eastAsia" w:ascii="宋体" w:hAnsi="宋体" w:eastAsia="楷体_GB2312" w:cs="Times New Roman"/>
          <w:b w:val="0"/>
          <w:bCs w:val="0"/>
          <w:snapToGrid/>
          <w:color w:val="auto"/>
          <w:kern w:val="2"/>
          <w:sz w:val="32"/>
          <w:szCs w:val="32"/>
          <w:highlight w:val="none"/>
          <w:lang w:eastAsia="zh-CN"/>
        </w:rPr>
        <w:t>妥善审理案件。</w:t>
      </w:r>
      <w:r>
        <w:rPr>
          <w:rFonts w:hint="eastAsia" w:ascii="仿宋_GB2312" w:hAnsi="仿宋_GB2312" w:eastAsia="仿宋_GB2312" w:cs="仿宋_GB2312"/>
          <w:snapToGrid w:val="0"/>
          <w:color w:val="auto"/>
          <w:kern w:val="0"/>
          <w:sz w:val="32"/>
          <w:szCs w:val="32"/>
          <w:highlight w:val="none"/>
        </w:rPr>
        <w:t>2024</w:t>
      </w:r>
      <w:r>
        <w:rPr>
          <w:rFonts w:hint="eastAsia" w:ascii="仿宋_GB2312" w:eastAsia="仿宋_GB2312"/>
          <w:color w:val="auto"/>
          <w:sz w:val="32"/>
          <w:szCs w:val="32"/>
          <w:highlight w:val="none"/>
        </w:rPr>
        <w:t>年，</w:t>
      </w:r>
      <w:r>
        <w:rPr>
          <w:rFonts w:hint="eastAsia" w:ascii="仿宋_GB2312" w:hAnsi="仿宋_GB2312" w:eastAsia="仿宋_GB2312" w:cs="仿宋_GB2312"/>
          <w:snapToGrid w:val="0"/>
          <w:color w:val="auto"/>
          <w:kern w:val="0"/>
          <w:sz w:val="32"/>
          <w:szCs w:val="32"/>
          <w:highlight w:val="none"/>
        </w:rPr>
        <w:t>新收案件</w:t>
      </w:r>
      <w:r>
        <w:rPr>
          <w:rFonts w:hint="eastAsia" w:ascii="仿宋_GB2312" w:hAnsi="仿宋_GB2312" w:eastAsia="仿宋_GB2312" w:cs="仿宋_GB2312"/>
          <w:snapToGrid w:val="0"/>
          <w:color w:val="auto"/>
          <w:kern w:val="0"/>
          <w:sz w:val="32"/>
          <w:szCs w:val="32"/>
          <w:highlight w:val="none"/>
          <w:lang w:val="en-US" w:eastAsia="zh-CN"/>
        </w:rPr>
        <w:t>15420</w:t>
      </w:r>
      <w:r>
        <w:rPr>
          <w:rFonts w:hint="eastAsia" w:ascii="仿宋_GB2312" w:hAnsi="仿宋_GB2312" w:eastAsia="仿宋_GB2312" w:cs="仿宋_GB2312"/>
          <w:snapToGrid w:val="0"/>
          <w:color w:val="auto"/>
          <w:kern w:val="0"/>
          <w:sz w:val="32"/>
          <w:szCs w:val="32"/>
          <w:highlight w:val="none"/>
        </w:rPr>
        <w:t>件，结案</w:t>
      </w:r>
      <w:r>
        <w:rPr>
          <w:rFonts w:hint="eastAsia" w:ascii="仿宋_GB2312" w:hAnsi="仿宋_GB2312" w:eastAsia="仿宋_GB2312" w:cs="仿宋_GB2312"/>
          <w:snapToGrid w:val="0"/>
          <w:color w:val="auto"/>
          <w:kern w:val="0"/>
          <w:sz w:val="32"/>
          <w:szCs w:val="32"/>
          <w:highlight w:val="none"/>
          <w:lang w:val="en-US" w:eastAsia="zh-CN"/>
        </w:rPr>
        <w:t>15956</w:t>
      </w:r>
      <w:r>
        <w:rPr>
          <w:rFonts w:hint="eastAsia" w:ascii="仿宋_GB2312" w:hAnsi="仿宋_GB2312" w:eastAsia="仿宋_GB2312" w:cs="仿宋_GB2312"/>
          <w:snapToGrid w:val="0"/>
          <w:color w:val="auto"/>
          <w:kern w:val="0"/>
          <w:sz w:val="32"/>
          <w:szCs w:val="32"/>
          <w:highlight w:val="none"/>
        </w:rPr>
        <w:t>件，存案同比下降</w:t>
      </w:r>
      <w:r>
        <w:rPr>
          <w:rFonts w:hint="eastAsia" w:ascii="仿宋_GB2312" w:hAnsi="仿宋_GB2312" w:eastAsia="仿宋_GB2312" w:cs="仿宋_GB2312"/>
          <w:snapToGrid w:val="0"/>
          <w:color w:val="auto"/>
          <w:kern w:val="0"/>
          <w:sz w:val="32"/>
          <w:szCs w:val="32"/>
          <w:highlight w:val="none"/>
          <w:lang w:val="en-US" w:eastAsia="zh-CN"/>
        </w:rPr>
        <w:t>26.39</w:t>
      </w:r>
      <w:r>
        <w:rPr>
          <w:rFonts w:hint="eastAsia" w:ascii="仿宋_GB2312" w:hAnsi="仿宋_GB2312" w:eastAsia="仿宋_GB2312" w:cs="仿宋_GB2312"/>
          <w:snapToGrid w:val="0"/>
          <w:color w:val="auto"/>
          <w:kern w:val="0"/>
          <w:sz w:val="32"/>
          <w:szCs w:val="32"/>
          <w:highlight w:val="none"/>
        </w:rPr>
        <w:t>%，</w:t>
      </w:r>
      <w:r>
        <w:rPr>
          <w:rFonts w:hint="eastAsia" w:ascii="仿宋_GB2312" w:eastAsia="仿宋_GB2312"/>
          <w:color w:val="auto"/>
          <w:sz w:val="32"/>
          <w:szCs w:val="32"/>
          <w:highlight w:val="none"/>
        </w:rPr>
        <w:t>实现收结案</w:t>
      </w:r>
      <w:r>
        <w:rPr>
          <w:rFonts w:hint="eastAsia" w:ascii="仿宋_GB2312" w:eastAsia="仿宋_GB2312"/>
          <w:color w:val="auto"/>
          <w:sz w:val="32"/>
          <w:szCs w:val="32"/>
          <w:highlight w:val="none"/>
          <w:lang w:eastAsia="zh-CN"/>
        </w:rPr>
        <w:t>持续</w:t>
      </w:r>
      <w:r>
        <w:rPr>
          <w:rFonts w:hint="eastAsia" w:ascii="仿宋_GB2312" w:eastAsia="仿宋_GB2312"/>
          <w:color w:val="auto"/>
          <w:sz w:val="32"/>
          <w:szCs w:val="32"/>
          <w:highlight w:val="none"/>
        </w:rPr>
        <w:t>良性循环。</w:t>
      </w:r>
      <w:r>
        <w:rPr>
          <w:rFonts w:hint="eastAsia" w:ascii="仿宋_GB2312" w:eastAsia="仿宋_GB2312"/>
          <w:bCs/>
          <w:color w:val="auto"/>
          <w:sz w:val="32"/>
          <w:szCs w:val="32"/>
          <w:highlight w:val="none"/>
        </w:rPr>
        <w:t>审判效率持续提升，</w:t>
      </w:r>
      <w:r>
        <w:rPr>
          <w:rFonts w:hint="eastAsia" w:ascii="仿宋_GB2312" w:eastAsia="仿宋_GB2312"/>
          <w:color w:val="auto"/>
          <w:sz w:val="32"/>
          <w:szCs w:val="32"/>
          <w:highlight w:val="none"/>
        </w:rPr>
        <w:t>民商事案件平均审理周期为</w:t>
      </w:r>
      <w:r>
        <w:rPr>
          <w:rFonts w:hint="eastAsia" w:ascii="仿宋_GB2312" w:eastAsia="仿宋_GB2312"/>
          <w:color w:val="auto"/>
          <w:sz w:val="32"/>
          <w:szCs w:val="32"/>
          <w:highlight w:val="none"/>
          <w:lang w:val="en-US" w:eastAsia="zh-CN"/>
        </w:rPr>
        <w:t>66</w:t>
      </w:r>
      <w:r>
        <w:rPr>
          <w:rFonts w:hint="eastAsia" w:ascii="仿宋_GB2312" w:eastAsia="仿宋_GB2312"/>
          <w:color w:val="auto"/>
          <w:sz w:val="32"/>
          <w:szCs w:val="32"/>
          <w:highlight w:val="none"/>
        </w:rPr>
        <w:t>天，同比减少</w:t>
      </w:r>
      <w:r>
        <w:rPr>
          <w:rFonts w:hint="eastAsia" w:ascii="仿宋_GB2312" w:eastAsia="仿宋_GB2312"/>
          <w:color w:val="auto"/>
          <w:sz w:val="32"/>
          <w:szCs w:val="32"/>
          <w:highlight w:val="none"/>
          <w:lang w:val="en-US" w:eastAsia="zh-CN"/>
        </w:rPr>
        <w:t>10.1</w:t>
      </w:r>
      <w:r>
        <w:rPr>
          <w:rFonts w:hint="eastAsia" w:ascii="仿宋_GB2312" w:eastAsia="仿宋_GB2312"/>
          <w:color w:val="auto"/>
          <w:sz w:val="32"/>
          <w:szCs w:val="32"/>
          <w:highlight w:val="none"/>
        </w:rPr>
        <w:t>天；审限内结案率为</w:t>
      </w:r>
      <w:r>
        <w:rPr>
          <w:rFonts w:hint="eastAsia" w:ascii="仿宋_GB2312" w:eastAsia="仿宋_GB2312"/>
          <w:color w:val="auto"/>
          <w:sz w:val="32"/>
          <w:szCs w:val="32"/>
          <w:highlight w:val="none"/>
          <w:lang w:val="en-US" w:eastAsia="zh-CN"/>
        </w:rPr>
        <w:t>96.62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同比上升5.59个百分点</w:t>
      </w:r>
      <w:r>
        <w:rPr>
          <w:rFonts w:hint="eastAsia" w:ascii="仿宋_GB2312" w:eastAsia="仿宋_GB2312"/>
          <w:color w:val="auto"/>
          <w:sz w:val="32"/>
          <w:szCs w:val="32"/>
          <w:highlight w:val="none"/>
        </w:rPr>
        <w:t>。审判质量持续提高，</w:t>
      </w:r>
      <w:r>
        <w:rPr>
          <w:rFonts w:hint="eastAsia" w:ascii="仿宋_GB2312" w:eastAsia="仿宋_GB2312"/>
          <w:color w:val="auto"/>
          <w:sz w:val="32"/>
          <w:szCs w:val="32"/>
          <w:highlight w:val="none"/>
          <w:lang w:val="en-US" w:eastAsia="zh-CN"/>
        </w:rPr>
        <w:t>上诉率为13.98%，同比下降1.16个百分点。</w:t>
      </w:r>
      <w:r>
        <w:rPr>
          <w:rFonts w:hint="eastAsia" w:ascii="仿宋_GB2312" w:eastAsia="仿宋_GB2312"/>
          <w:color w:val="auto"/>
          <w:sz w:val="32"/>
          <w:szCs w:val="32"/>
          <w:highlight w:val="none"/>
        </w:rPr>
        <w:t>审判效果持续向好，案件比为</w:t>
      </w:r>
      <w:r>
        <w:rPr>
          <w:rFonts w:hint="eastAsia" w:ascii="仿宋_GB2312" w:eastAsia="仿宋_GB2312"/>
          <w:color w:val="auto"/>
          <w:sz w:val="32"/>
          <w:szCs w:val="32"/>
          <w:highlight w:val="none"/>
          <w:lang w:val="en-US" w:eastAsia="zh-CN"/>
        </w:rPr>
        <w:t>1：1.48</w:t>
      </w:r>
      <w:r>
        <w:rPr>
          <w:rFonts w:hint="eastAsia" w:ascii="仿宋_GB2312" w:eastAsia="仿宋_GB2312"/>
          <w:color w:val="auto"/>
          <w:sz w:val="32"/>
          <w:szCs w:val="32"/>
          <w:highlight w:val="none"/>
        </w:rPr>
        <w:t>，实质解纷能力</w:t>
      </w:r>
      <w:r>
        <w:rPr>
          <w:rFonts w:hint="eastAsia" w:ascii="仿宋_GB2312" w:eastAsia="仿宋_GB2312"/>
          <w:color w:val="auto"/>
          <w:sz w:val="32"/>
          <w:szCs w:val="32"/>
          <w:highlight w:val="none"/>
          <w:lang w:eastAsia="zh-CN"/>
        </w:rPr>
        <w:t>有效</w:t>
      </w:r>
      <w:r>
        <w:rPr>
          <w:rFonts w:hint="eastAsia" w:ascii="仿宋_GB2312" w:eastAsia="仿宋_GB2312"/>
          <w:color w:val="auto"/>
          <w:sz w:val="32"/>
          <w:szCs w:val="32"/>
          <w:highlight w:val="none"/>
        </w:rPr>
        <w:t>提升</w:t>
      </w:r>
      <w:r>
        <w:rPr>
          <w:rFonts w:hint="eastAsia" w:ascii="仿宋_GB2312" w:eastAsia="仿宋_GB2312"/>
          <w:color w:val="auto"/>
          <w:sz w:val="32"/>
          <w:szCs w:val="32"/>
          <w:highlight w:val="none"/>
          <w:lang w:eastAsia="zh-CN"/>
        </w:rPr>
        <w:t>。</w:t>
      </w:r>
    </w:p>
    <w:p w14:paraId="5F55E33E">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宋体" w:hAnsi="宋体" w:eastAsia="楷体_GB2312" w:cs="Times New Roman"/>
          <w:b w:val="0"/>
          <w:bCs w:val="0"/>
          <w:snapToGrid/>
          <w:color w:val="auto"/>
          <w:kern w:val="2"/>
          <w:sz w:val="32"/>
          <w:szCs w:val="32"/>
          <w:highlight w:val="none"/>
          <w:lang w:val="en-US" w:eastAsia="zh-CN"/>
        </w:rPr>
        <w:t>切实解决执行难</w:t>
      </w:r>
      <w:r>
        <w:rPr>
          <w:rFonts w:hint="eastAsia" w:ascii="宋体" w:hAnsi="宋体" w:eastAsia="楷体_GB2312" w:cs="Times New Roman"/>
          <w:b w:val="0"/>
          <w:bCs w:val="0"/>
          <w:snapToGrid/>
          <w:color w:val="auto"/>
          <w:kern w:val="2"/>
          <w:sz w:val="32"/>
          <w:szCs w:val="32"/>
          <w:highlight w:val="none"/>
          <w:lang w:eastAsia="zh-CN"/>
        </w:rPr>
        <w:t>。</w:t>
      </w:r>
      <w:r>
        <w:rPr>
          <w:rFonts w:hint="eastAsia" w:ascii="仿宋_GB2312" w:eastAsia="仿宋_GB2312"/>
          <w:color w:val="auto"/>
          <w:sz w:val="32"/>
          <w:szCs w:val="32"/>
          <w:highlight w:val="none"/>
        </w:rPr>
        <w:t>2024年，</w:t>
      </w:r>
      <w:r>
        <w:rPr>
          <w:rFonts w:hint="eastAsia" w:ascii="仿宋_GB2312" w:hAnsi="仿宋_GB2312" w:eastAsia="仿宋_GB2312" w:cs="仿宋_GB2312"/>
          <w:snapToGrid w:val="0"/>
          <w:color w:val="auto"/>
          <w:kern w:val="0"/>
          <w:sz w:val="32"/>
          <w:szCs w:val="32"/>
          <w:highlight w:val="none"/>
        </w:rPr>
        <w:t>执行类案件新收</w:t>
      </w:r>
      <w:r>
        <w:rPr>
          <w:rFonts w:hint="eastAsia" w:ascii="仿宋_GB2312" w:hAnsi="仿宋_GB2312" w:eastAsia="仿宋_GB2312" w:cs="仿宋_GB2312"/>
          <w:snapToGrid w:val="0"/>
          <w:color w:val="auto"/>
          <w:kern w:val="0"/>
          <w:sz w:val="32"/>
          <w:szCs w:val="32"/>
          <w:highlight w:val="none"/>
          <w:lang w:val="en-US" w:eastAsia="zh-CN"/>
        </w:rPr>
        <w:t>4210</w:t>
      </w:r>
      <w:r>
        <w:rPr>
          <w:rFonts w:hint="eastAsia" w:ascii="仿宋_GB2312" w:hAnsi="仿宋_GB2312" w:eastAsia="仿宋_GB2312" w:cs="仿宋_GB2312"/>
          <w:snapToGrid w:val="0"/>
          <w:color w:val="auto"/>
          <w:kern w:val="0"/>
          <w:sz w:val="32"/>
          <w:szCs w:val="32"/>
          <w:highlight w:val="none"/>
        </w:rPr>
        <w:t>件，执结</w:t>
      </w:r>
      <w:r>
        <w:rPr>
          <w:rFonts w:hint="eastAsia" w:ascii="仿宋_GB2312" w:hAnsi="仿宋_GB2312" w:eastAsia="仿宋_GB2312" w:cs="仿宋_GB2312"/>
          <w:snapToGrid w:val="0"/>
          <w:color w:val="auto"/>
          <w:kern w:val="0"/>
          <w:sz w:val="32"/>
          <w:szCs w:val="32"/>
          <w:highlight w:val="none"/>
          <w:lang w:val="en-US" w:eastAsia="zh-CN"/>
        </w:rPr>
        <w:t>4274</w:t>
      </w:r>
      <w:r>
        <w:rPr>
          <w:rFonts w:hint="eastAsia" w:ascii="仿宋_GB2312" w:hAnsi="仿宋_GB2312" w:eastAsia="仿宋_GB2312" w:cs="仿宋_GB2312"/>
          <w:snapToGrid w:val="0"/>
          <w:color w:val="auto"/>
          <w:kern w:val="0"/>
          <w:sz w:val="32"/>
          <w:szCs w:val="32"/>
          <w:highlight w:val="none"/>
        </w:rPr>
        <w:t>件</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eastAsia="仿宋_GB2312"/>
          <w:color w:val="auto"/>
          <w:sz w:val="32"/>
          <w:szCs w:val="32"/>
          <w:highlight w:val="none"/>
        </w:rPr>
        <w:t>执行完毕率</w:t>
      </w:r>
      <w:r>
        <w:rPr>
          <w:rFonts w:hint="eastAsia" w:ascii="仿宋_GB2312" w:hAnsi="仿宋_GB2312" w:eastAsia="仿宋_GB2312" w:cs="仿宋_GB2312"/>
          <w:snapToGrid w:val="0"/>
          <w:color w:val="auto"/>
          <w:kern w:val="0"/>
          <w:sz w:val="32"/>
          <w:szCs w:val="32"/>
          <w:highlight w:val="none"/>
          <w:lang w:val="en-US" w:eastAsia="zh-CN"/>
        </w:rPr>
        <w:t>41.49</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eastAsia="仿宋_GB2312"/>
          <w:color w:val="auto"/>
          <w:sz w:val="32"/>
          <w:szCs w:val="32"/>
          <w:highlight w:val="none"/>
        </w:rPr>
        <w:t>同比上升</w:t>
      </w:r>
      <w:r>
        <w:rPr>
          <w:rFonts w:hint="eastAsia" w:ascii="仿宋_GB2312" w:eastAsia="仿宋_GB2312"/>
          <w:color w:val="auto"/>
          <w:sz w:val="32"/>
          <w:szCs w:val="32"/>
          <w:highlight w:val="none"/>
          <w:lang w:val="en-US" w:eastAsia="zh-CN"/>
        </w:rPr>
        <w:t>19.25</w:t>
      </w:r>
      <w:r>
        <w:rPr>
          <w:rFonts w:hint="eastAsia" w:ascii="仿宋_GB2312" w:eastAsia="仿宋_GB2312"/>
          <w:color w:val="auto"/>
          <w:sz w:val="32"/>
          <w:szCs w:val="32"/>
          <w:highlight w:val="none"/>
        </w:rPr>
        <w:t>个百分点</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eastAsia="zh-CN"/>
        </w:rPr>
        <w:t>结案平均用时</w:t>
      </w:r>
      <w:r>
        <w:rPr>
          <w:rFonts w:hint="eastAsia" w:ascii="仿宋_GB2312" w:hAnsi="仿宋_GB2312" w:eastAsia="仿宋_GB2312" w:cs="仿宋_GB2312"/>
          <w:snapToGrid w:val="0"/>
          <w:color w:val="auto"/>
          <w:kern w:val="0"/>
          <w:sz w:val="32"/>
          <w:szCs w:val="32"/>
          <w:highlight w:val="none"/>
          <w:lang w:val="en-US" w:eastAsia="zh-CN"/>
        </w:rPr>
        <w:t>55.09</w:t>
      </w:r>
      <w:r>
        <w:rPr>
          <w:rFonts w:hint="eastAsia" w:ascii="仿宋_GB2312" w:hAnsi="仿宋_GB2312" w:eastAsia="仿宋_GB2312" w:cs="仿宋_GB2312"/>
          <w:snapToGrid w:val="0"/>
          <w:color w:val="auto"/>
          <w:kern w:val="0"/>
          <w:sz w:val="32"/>
          <w:szCs w:val="32"/>
          <w:highlight w:val="none"/>
          <w:lang w:eastAsia="zh-CN"/>
        </w:rPr>
        <w:t>天，同比缩短</w:t>
      </w:r>
      <w:r>
        <w:rPr>
          <w:rFonts w:hint="eastAsia" w:ascii="仿宋_GB2312" w:hAnsi="仿宋_GB2312" w:eastAsia="仿宋_GB2312" w:cs="仿宋_GB2312"/>
          <w:snapToGrid w:val="0"/>
          <w:color w:val="auto"/>
          <w:kern w:val="0"/>
          <w:sz w:val="32"/>
          <w:szCs w:val="32"/>
          <w:highlight w:val="none"/>
          <w:lang w:val="en-US" w:eastAsia="zh-CN"/>
        </w:rPr>
        <w:t>21.37</w:t>
      </w:r>
      <w:r>
        <w:rPr>
          <w:rFonts w:hint="eastAsia" w:ascii="仿宋_GB2312" w:hAnsi="仿宋_GB2312" w:eastAsia="仿宋_GB2312" w:cs="仿宋_GB2312"/>
          <w:snapToGrid w:val="0"/>
          <w:color w:val="auto"/>
          <w:kern w:val="0"/>
          <w:sz w:val="32"/>
          <w:szCs w:val="32"/>
          <w:highlight w:val="none"/>
          <w:lang w:eastAsia="zh-CN"/>
        </w:rPr>
        <w:t>天。全面开展交叉执行，促进不同地域、部门资源共享，提升查人找物准确性和效率。</w:t>
      </w:r>
      <w:r>
        <w:rPr>
          <w:rFonts w:hint="eastAsia" w:ascii="仿宋_GB2312" w:hAnsi="仿宋_GB2312" w:eastAsia="仿宋_GB2312" w:cs="仿宋_GB2312"/>
          <w:snapToGrid w:val="0"/>
          <w:color w:val="auto"/>
          <w:kern w:val="0"/>
          <w:sz w:val="32"/>
          <w:szCs w:val="32"/>
          <w:highlight w:val="none"/>
        </w:rPr>
        <w:t>完善诚信企业司法激励机制，</w:t>
      </w:r>
      <w:r>
        <w:rPr>
          <w:rFonts w:hint="eastAsia" w:ascii="仿宋_GB2312" w:hAnsi="仿宋_GB2312" w:eastAsia="仿宋_GB2312" w:cs="仿宋_GB2312"/>
          <w:snapToGrid w:val="0"/>
          <w:color w:val="auto"/>
          <w:kern w:val="0"/>
          <w:sz w:val="32"/>
          <w:szCs w:val="32"/>
          <w:highlight w:val="none"/>
          <w:lang w:eastAsia="zh-CN"/>
        </w:rPr>
        <w:t>实现诚信企业名单动态管理，</w:t>
      </w:r>
      <w:r>
        <w:rPr>
          <w:rFonts w:hint="eastAsia" w:ascii="仿宋_GB2312" w:hAnsi="仿宋_GB2312" w:eastAsia="仿宋_GB2312" w:cs="仿宋_GB2312"/>
          <w:snapToGrid w:val="0"/>
          <w:color w:val="auto"/>
          <w:kern w:val="0"/>
          <w:sz w:val="32"/>
          <w:szCs w:val="32"/>
          <w:highlight w:val="none"/>
          <w:lang w:val="en-US" w:eastAsia="zh-CN"/>
        </w:rPr>
        <w:t>通过灵活采取</w:t>
      </w:r>
      <w:r>
        <w:rPr>
          <w:rFonts w:hint="default" w:ascii="仿宋_GB2312" w:hAnsi="仿宋_GB2312" w:eastAsia="仿宋_GB2312" w:cs="仿宋_GB2312"/>
          <w:snapToGrid w:val="0"/>
          <w:color w:val="auto"/>
          <w:kern w:val="0"/>
          <w:sz w:val="32"/>
          <w:szCs w:val="32"/>
          <w:highlight w:val="none"/>
          <w:lang w:val="en-US" w:eastAsia="zh-CN"/>
        </w:rPr>
        <w:t>查封和财产处置措施</w:t>
      </w:r>
      <w:r>
        <w:rPr>
          <w:rFonts w:hint="eastAsia" w:ascii="仿宋_GB2312" w:hAnsi="仿宋_GB2312" w:eastAsia="仿宋_GB2312" w:cs="仿宋_GB2312"/>
          <w:snapToGrid w:val="0"/>
          <w:color w:val="auto"/>
          <w:kern w:val="0"/>
          <w:sz w:val="32"/>
          <w:szCs w:val="32"/>
          <w:highlight w:val="none"/>
          <w:lang w:val="en-US" w:eastAsia="zh-CN"/>
        </w:rPr>
        <w:t>、出具</w:t>
      </w:r>
      <w:r>
        <w:rPr>
          <w:rFonts w:hint="default" w:ascii="仿宋_GB2312" w:hAnsi="仿宋_GB2312" w:eastAsia="仿宋_GB2312" w:cs="仿宋_GB2312"/>
          <w:snapToGrid w:val="0"/>
          <w:color w:val="auto"/>
          <w:kern w:val="0"/>
          <w:sz w:val="32"/>
          <w:szCs w:val="32"/>
          <w:highlight w:val="none"/>
          <w:lang w:val="en-US" w:eastAsia="zh-CN"/>
        </w:rPr>
        <w:t>企业信用修复</w:t>
      </w:r>
      <w:r>
        <w:rPr>
          <w:rFonts w:hint="eastAsia" w:ascii="仿宋_GB2312" w:hAnsi="仿宋_GB2312" w:eastAsia="仿宋_GB2312" w:cs="仿宋_GB2312"/>
          <w:snapToGrid w:val="0"/>
          <w:color w:val="auto"/>
          <w:kern w:val="0"/>
          <w:sz w:val="32"/>
          <w:szCs w:val="32"/>
          <w:highlight w:val="none"/>
          <w:lang w:val="en-US" w:eastAsia="zh-CN"/>
        </w:rPr>
        <w:t>证明等方式，保障诚信企业正常经营发展。</w:t>
      </w:r>
      <w:r>
        <w:rPr>
          <w:rFonts w:hint="eastAsia" w:ascii="仿宋_GB2312" w:eastAsia="仿宋_GB2312"/>
          <w:color w:val="auto"/>
          <w:sz w:val="32"/>
          <w:szCs w:val="32"/>
          <w:highlight w:val="none"/>
        </w:rPr>
        <w:t>2024年，办结涉诚信企业案件</w:t>
      </w:r>
      <w:r>
        <w:rPr>
          <w:rFonts w:hint="eastAsia" w:ascii="仿宋_GB2312" w:eastAsia="仿宋_GB2312"/>
          <w:color w:val="auto"/>
          <w:sz w:val="32"/>
          <w:szCs w:val="32"/>
          <w:highlight w:val="none"/>
          <w:lang w:val="en-US" w:eastAsia="zh-CN"/>
        </w:rPr>
        <w:t>699</w:t>
      </w:r>
      <w:r>
        <w:rPr>
          <w:rFonts w:hint="eastAsia" w:ascii="仿宋_GB2312" w:eastAsia="仿宋_GB2312"/>
          <w:color w:val="auto"/>
          <w:sz w:val="32"/>
          <w:szCs w:val="32"/>
          <w:highlight w:val="none"/>
        </w:rPr>
        <w:t>件，涉及诚信企业</w:t>
      </w:r>
      <w:r>
        <w:rPr>
          <w:rFonts w:hint="eastAsia" w:ascii="仿宋_GB2312" w:eastAsia="仿宋_GB2312"/>
          <w:color w:val="auto"/>
          <w:sz w:val="32"/>
          <w:szCs w:val="32"/>
          <w:highlight w:val="none"/>
          <w:lang w:val="en-US" w:eastAsia="zh-CN"/>
        </w:rPr>
        <w:t>194</w:t>
      </w:r>
      <w:r>
        <w:rPr>
          <w:rFonts w:hint="eastAsia" w:ascii="仿宋_GB2312" w:eastAsia="仿宋_GB2312"/>
          <w:color w:val="auto"/>
          <w:sz w:val="32"/>
          <w:szCs w:val="32"/>
          <w:highlight w:val="none"/>
        </w:rPr>
        <w:t>家，结案标的额</w:t>
      </w:r>
      <w:r>
        <w:rPr>
          <w:rFonts w:hint="eastAsia" w:ascii="仿宋_GB2312" w:eastAsia="仿宋_GB2312"/>
          <w:color w:val="auto"/>
          <w:sz w:val="32"/>
          <w:szCs w:val="32"/>
          <w:highlight w:val="none"/>
          <w:lang w:val="en-US" w:eastAsia="zh-CN"/>
        </w:rPr>
        <w:t>16.03</w:t>
      </w:r>
      <w:r>
        <w:rPr>
          <w:rFonts w:hint="eastAsia" w:ascii="仿宋_GB2312" w:eastAsia="仿宋_GB2312"/>
          <w:color w:val="auto"/>
          <w:sz w:val="32"/>
          <w:szCs w:val="32"/>
          <w:highlight w:val="none"/>
        </w:rPr>
        <w:t>亿元。加强涉外涉港澳台执行工作，规范涉外涉港澳台款项支付、人员出入境等措施，提升</w:t>
      </w:r>
      <w:r>
        <w:rPr>
          <w:rFonts w:hint="eastAsia" w:ascii="仿宋_GB2312" w:eastAsia="仿宋_GB2312"/>
          <w:color w:val="auto"/>
          <w:sz w:val="32"/>
          <w:szCs w:val="32"/>
          <w:highlight w:val="none"/>
          <w:lang w:val="en-US" w:eastAsia="zh-CN"/>
        </w:rPr>
        <w:t>该类案件</w:t>
      </w:r>
      <w:r>
        <w:rPr>
          <w:rFonts w:hint="eastAsia" w:ascii="仿宋_GB2312" w:eastAsia="仿宋_GB2312"/>
          <w:color w:val="auto"/>
          <w:sz w:val="32"/>
          <w:szCs w:val="32"/>
          <w:highlight w:val="none"/>
        </w:rPr>
        <w:t>执行</w:t>
      </w:r>
      <w:r>
        <w:rPr>
          <w:rFonts w:hint="eastAsia" w:ascii="仿宋_GB2312" w:eastAsia="仿宋_GB2312"/>
          <w:color w:val="auto"/>
          <w:sz w:val="32"/>
          <w:szCs w:val="32"/>
          <w:highlight w:val="none"/>
          <w:lang w:val="en-US" w:eastAsia="zh-CN"/>
        </w:rPr>
        <w:t>能效</w:t>
      </w:r>
      <w:r>
        <w:rPr>
          <w:rFonts w:hint="eastAsia" w:ascii="仿宋_GB2312" w:eastAsia="仿宋_GB2312"/>
          <w:color w:val="auto"/>
          <w:sz w:val="32"/>
          <w:szCs w:val="32"/>
          <w:highlight w:val="none"/>
        </w:rPr>
        <w:t>。</w:t>
      </w:r>
    </w:p>
    <w:p w14:paraId="497A0F11">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宋体" w:hAnsi="宋体" w:eastAsia="楷体_GB2312" w:cs="Times New Roman"/>
          <w:b w:val="0"/>
          <w:bCs w:val="0"/>
          <w:color w:val="auto"/>
          <w:sz w:val="32"/>
          <w:szCs w:val="32"/>
          <w:highlight w:val="none"/>
          <w:lang w:val="en-US" w:eastAsia="zh-CN"/>
        </w:rPr>
        <w:t>科技赋能数字法院建设。</w:t>
      </w:r>
      <w:r>
        <w:rPr>
          <w:rFonts w:hint="eastAsia" w:ascii="仿宋_GB2312" w:hAnsi="仿宋_GB2312" w:eastAsia="仿宋_GB2312" w:cs="仿宋_GB2312"/>
          <w:b w:val="0"/>
          <w:bCs w:val="0"/>
          <w:color w:val="auto"/>
          <w:sz w:val="32"/>
          <w:szCs w:val="32"/>
          <w:highlight w:val="none"/>
          <w:lang w:val="en-US" w:eastAsia="zh-CN"/>
        </w:rPr>
        <w:t>依托</w:t>
      </w:r>
      <w:r>
        <w:rPr>
          <w:rFonts w:hint="eastAsia" w:ascii="仿宋_GB2312" w:eastAsia="仿宋_GB2312"/>
          <w:color w:val="auto"/>
          <w:sz w:val="32"/>
          <w:szCs w:val="32"/>
          <w:highlight w:val="none"/>
          <w:lang w:eastAsia="zh-CN"/>
        </w:rPr>
        <w:t>市中级法院</w:t>
      </w:r>
      <w:r>
        <w:rPr>
          <w:rFonts w:hint="eastAsia" w:ascii="仿宋_GB2312" w:eastAsia="仿宋_GB2312"/>
          <w:color w:val="auto"/>
          <w:sz w:val="32"/>
          <w:szCs w:val="32"/>
          <w:highlight w:val="none"/>
        </w:rPr>
        <w:t>的人工智能辅助审判系统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全人员、全方位、全流程运用AI辅助办案，激活案件快速审理引擎。依托区块链</w:t>
      </w:r>
      <w:r>
        <w:rPr>
          <w:rFonts w:hint="eastAsia" w:ascii="仿宋_GB2312" w:eastAsia="仿宋_GB2312"/>
          <w:color w:val="auto"/>
          <w:sz w:val="32"/>
          <w:szCs w:val="32"/>
          <w:highlight w:val="none"/>
          <w:lang w:eastAsia="zh-CN"/>
        </w:rPr>
        <w:t>存证技术，积极运用</w:t>
      </w:r>
      <w:r>
        <w:rPr>
          <w:rFonts w:hint="eastAsia" w:ascii="仿宋_GB2312" w:eastAsia="仿宋_GB2312"/>
          <w:color w:val="auto"/>
          <w:sz w:val="32"/>
          <w:szCs w:val="32"/>
          <w:highlight w:val="none"/>
        </w:rPr>
        <w:t>“云审”系统</w:t>
      </w:r>
      <w:r>
        <w:rPr>
          <w:rFonts w:hint="eastAsia" w:ascii="仿宋_GB2312" w:eastAsia="仿宋_GB2312"/>
          <w:color w:val="auto"/>
          <w:sz w:val="32"/>
          <w:szCs w:val="32"/>
          <w:highlight w:val="none"/>
          <w:lang w:eastAsia="zh-CN"/>
        </w:rPr>
        <w:t>审理金融类、民间借贷类、融资租赁类纠纷</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建立健全多类型纠纷批量、快速处理新方案。</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rPr>
        <w:t>，运用“云审”系统审理案件</w:t>
      </w:r>
      <w:r>
        <w:rPr>
          <w:rFonts w:hint="eastAsia" w:ascii="仿宋_GB2312" w:eastAsia="仿宋_GB2312"/>
          <w:color w:val="auto"/>
          <w:sz w:val="32"/>
          <w:szCs w:val="32"/>
          <w:highlight w:val="none"/>
          <w:lang w:val="en-US" w:eastAsia="zh-CN"/>
        </w:rPr>
        <w:t>1814</w:t>
      </w:r>
      <w:r>
        <w:rPr>
          <w:rFonts w:hint="eastAsia" w:ascii="仿宋_GB2312" w:eastAsia="仿宋_GB2312"/>
          <w:color w:val="auto"/>
          <w:sz w:val="32"/>
          <w:szCs w:val="32"/>
          <w:highlight w:val="none"/>
        </w:rPr>
        <w:t>件。</w:t>
      </w:r>
    </w:p>
    <w:p w14:paraId="3E55C468">
      <w:pPr>
        <w:pStyle w:val="2"/>
        <w:keepNext w:val="0"/>
        <w:keepLines w:val="0"/>
        <w:pageBreakBefore w:val="0"/>
        <w:widowControl w:val="0"/>
        <w:numPr>
          <w:ilvl w:val="-1"/>
          <w:numId w:val="0"/>
        </w:numPr>
        <w:kinsoku/>
        <w:wordWrap/>
        <w:overflowPunct w:val="0"/>
        <w:topLinePunct w:val="0"/>
        <w:autoSpaceDE/>
        <w:autoSpaceDN/>
        <w:bidi w:val="0"/>
        <w:adjustRightInd/>
        <w:snapToGrid/>
        <w:spacing w:line="576" w:lineRule="exact"/>
        <w:ind w:firstLine="640" w:firstLineChars="200"/>
        <w:jc w:val="left"/>
        <w:textAlignment w:val="auto"/>
        <w:outlineLvl w:val="9"/>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lang w:val="en-US" w:eastAsia="zh-CN"/>
        </w:rPr>
        <w:t>、</w:t>
      </w:r>
      <w:r>
        <w:rPr>
          <w:rFonts w:hint="default" w:ascii="黑体" w:hAnsi="黑体" w:eastAsia="黑体" w:cs="黑体"/>
          <w:bCs/>
          <w:color w:val="auto"/>
          <w:sz w:val="32"/>
          <w:szCs w:val="32"/>
          <w:highlight w:val="none"/>
          <w:lang w:val="en-US" w:eastAsia="zh-CN"/>
        </w:rPr>
        <w:t>做实服务大局，以更高质量司法服务保障国家重大战略部署</w:t>
      </w:r>
    </w:p>
    <w:p w14:paraId="2E7B1660">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楷体_GB2312" w:cs="Times New Roman"/>
          <w:b w:val="0"/>
          <w:bCs w:val="0"/>
          <w:color w:val="auto"/>
          <w:sz w:val="32"/>
          <w:szCs w:val="32"/>
          <w:highlight w:val="none"/>
          <w:lang w:val="en-US" w:eastAsia="zh-CN"/>
        </w:rPr>
        <w:t>提升涉外涉港澳台商事审判质效。</w:t>
      </w:r>
      <w:r>
        <w:rPr>
          <w:rFonts w:hint="eastAsia" w:ascii="仿宋_GB2312" w:eastAsia="仿宋_GB2312"/>
          <w:color w:val="auto"/>
          <w:sz w:val="32"/>
          <w:szCs w:val="32"/>
          <w:highlight w:val="none"/>
        </w:rPr>
        <w:t>2024年，受理涉外涉港澳台商事案件</w:t>
      </w:r>
      <w:r>
        <w:rPr>
          <w:rFonts w:hint="eastAsia" w:ascii="仿宋_GB2312" w:eastAsia="仿宋_GB2312"/>
          <w:color w:val="auto"/>
          <w:sz w:val="32"/>
          <w:szCs w:val="32"/>
          <w:highlight w:val="none"/>
          <w:lang w:val="en-US" w:eastAsia="zh-CN"/>
        </w:rPr>
        <w:t>3518</w:t>
      </w:r>
      <w:r>
        <w:rPr>
          <w:rFonts w:hint="eastAsia" w:ascii="仿宋_GB2312" w:eastAsia="仿宋_GB2312"/>
          <w:color w:val="auto"/>
          <w:sz w:val="32"/>
          <w:szCs w:val="32"/>
          <w:highlight w:val="none"/>
        </w:rPr>
        <w:t>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其中，受理涉港商事案件</w:t>
      </w:r>
      <w:r>
        <w:rPr>
          <w:rFonts w:hint="eastAsia" w:ascii="仿宋_GB2312" w:eastAsia="仿宋_GB2312"/>
          <w:color w:val="auto"/>
          <w:sz w:val="32"/>
          <w:szCs w:val="32"/>
          <w:highlight w:val="none"/>
          <w:lang w:val="en-US" w:eastAsia="zh-CN"/>
        </w:rPr>
        <w:t>2261</w:t>
      </w:r>
      <w:r>
        <w:rPr>
          <w:rFonts w:hint="eastAsia" w:ascii="仿宋_GB2312" w:eastAsia="仿宋_GB2312"/>
          <w:color w:val="auto"/>
          <w:sz w:val="32"/>
          <w:szCs w:val="32"/>
          <w:highlight w:val="none"/>
        </w:rPr>
        <w:t>件，占涉外涉港澳台商事案件总数的</w:t>
      </w:r>
      <w:r>
        <w:rPr>
          <w:rFonts w:hint="eastAsia" w:ascii="仿宋_GB2312" w:eastAsia="仿宋_GB2312"/>
          <w:color w:val="auto"/>
          <w:sz w:val="32"/>
          <w:szCs w:val="32"/>
          <w:highlight w:val="none"/>
          <w:lang w:val="en-US" w:eastAsia="zh-CN"/>
        </w:rPr>
        <w:t>64.27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受理涉外商事案件</w:t>
      </w:r>
      <w:r>
        <w:rPr>
          <w:rFonts w:hint="eastAsia" w:ascii="仿宋_GB2312" w:eastAsia="仿宋_GB2312"/>
          <w:color w:val="auto"/>
          <w:sz w:val="32"/>
          <w:szCs w:val="32"/>
          <w:highlight w:val="none"/>
          <w:lang w:val="en-US" w:eastAsia="zh-CN"/>
        </w:rPr>
        <w:t>999</w:t>
      </w:r>
      <w:r>
        <w:rPr>
          <w:rFonts w:hint="eastAsia" w:ascii="仿宋_GB2312" w:eastAsia="仿宋_GB2312"/>
          <w:color w:val="auto"/>
          <w:sz w:val="32"/>
          <w:szCs w:val="32"/>
          <w:highlight w:val="none"/>
        </w:rPr>
        <w:t>件。涉外涉港澳台商事案件平均审理周期</w:t>
      </w:r>
      <w:r>
        <w:rPr>
          <w:rFonts w:hint="eastAsia" w:ascii="仿宋_GB2312" w:eastAsia="仿宋_GB2312"/>
          <w:color w:val="auto"/>
          <w:sz w:val="32"/>
          <w:szCs w:val="32"/>
          <w:highlight w:val="none"/>
          <w:lang w:val="en-US" w:eastAsia="zh-CN"/>
        </w:rPr>
        <w:t>93.14</w:t>
      </w:r>
      <w:r>
        <w:rPr>
          <w:rFonts w:hint="eastAsia" w:ascii="仿宋_GB2312" w:eastAsia="仿宋_GB2312"/>
          <w:color w:val="auto"/>
          <w:sz w:val="32"/>
          <w:szCs w:val="32"/>
          <w:highlight w:val="none"/>
        </w:rPr>
        <w:t>天，同比减少</w:t>
      </w:r>
      <w:r>
        <w:rPr>
          <w:rFonts w:hint="eastAsia" w:ascii="仿宋_GB2312" w:eastAsia="仿宋_GB2312"/>
          <w:color w:val="auto"/>
          <w:sz w:val="32"/>
          <w:szCs w:val="32"/>
          <w:highlight w:val="none"/>
          <w:lang w:val="en-US" w:eastAsia="zh-CN"/>
        </w:rPr>
        <w:t>29.82</w:t>
      </w:r>
      <w:r>
        <w:rPr>
          <w:rFonts w:hint="eastAsia" w:ascii="仿宋_GB2312" w:eastAsia="仿宋_GB2312"/>
          <w:color w:val="auto"/>
          <w:sz w:val="32"/>
          <w:szCs w:val="32"/>
          <w:highlight w:val="none"/>
        </w:rPr>
        <w:t>天</w:t>
      </w:r>
      <w:r>
        <w:rPr>
          <w:rFonts w:hint="eastAsia" w:ascii="仿宋_GB2312" w:eastAsia="仿宋_GB2312"/>
          <w:color w:val="auto"/>
          <w:sz w:val="32"/>
          <w:szCs w:val="32"/>
          <w:highlight w:val="none"/>
          <w:lang w:eastAsia="zh-CN"/>
        </w:rPr>
        <w:t>，较集中管辖前减少约</w:t>
      </w:r>
      <w:r>
        <w:rPr>
          <w:rFonts w:hint="eastAsia" w:ascii="仿宋_GB2312" w:eastAsia="仿宋_GB2312"/>
          <w:color w:val="auto"/>
          <w:sz w:val="32"/>
          <w:szCs w:val="32"/>
          <w:highlight w:val="none"/>
          <w:lang w:val="en-US" w:eastAsia="zh-CN"/>
        </w:rPr>
        <w:t>14.2个月。</w:t>
      </w:r>
      <w:r>
        <w:rPr>
          <w:rFonts w:hint="eastAsia" w:ascii="仿宋_GB2312" w:eastAsia="仿宋_GB2312"/>
          <w:color w:val="auto"/>
          <w:sz w:val="32"/>
          <w:szCs w:val="32"/>
          <w:highlight w:val="none"/>
        </w:rPr>
        <w:t>2024年，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某商务公司诉某房地产公司公司决议撤销纠纷案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等</w:t>
      </w:r>
      <w:r>
        <w:rPr>
          <w:rFonts w:hint="eastAsia" w:ascii="仿宋_GB2312" w:eastAsia="仿宋_GB2312"/>
          <w:color w:val="auto"/>
          <w:sz w:val="32"/>
          <w:szCs w:val="32"/>
          <w:highlight w:val="none"/>
        </w:rPr>
        <w:t>3篇</w:t>
      </w:r>
      <w:r>
        <w:rPr>
          <w:rFonts w:hint="eastAsia" w:ascii="仿宋_GB2312" w:eastAsia="仿宋_GB2312"/>
          <w:color w:val="auto"/>
          <w:sz w:val="32"/>
          <w:szCs w:val="32"/>
          <w:highlight w:val="none"/>
          <w:lang w:eastAsia="zh-CN"/>
        </w:rPr>
        <w:t>涉外涉港</w:t>
      </w:r>
      <w:r>
        <w:rPr>
          <w:rFonts w:hint="eastAsia" w:ascii="仿宋_GB2312" w:eastAsia="仿宋_GB2312"/>
          <w:color w:val="auto"/>
          <w:sz w:val="32"/>
          <w:szCs w:val="32"/>
          <w:highlight w:val="none"/>
        </w:rPr>
        <w:t>案例入选人民法院案例库。</w:t>
      </w:r>
      <w:r>
        <w:rPr>
          <w:rFonts w:hint="eastAsia" w:ascii="仿宋_GB2312" w:hAnsi="仿宋_GB2312" w:eastAsia="仿宋_GB2312" w:cs="仿宋_GB2312"/>
          <w:color w:val="auto"/>
          <w:sz w:val="32"/>
          <w:szCs w:val="32"/>
          <w:highlight w:val="none"/>
          <w:lang w:val="en-US" w:eastAsia="zh-CN"/>
        </w:rPr>
        <w:t>举办涉外法治建设成果发布会，发布《推进涉外法治建设白皮书》，全方位展示前海法院涉外商事审判、跨境商事多元解纷、粤港澳大湾区司法交流合作等方面的经验成效，受到内地和港澳地区广泛关注。</w:t>
      </w:r>
    </w:p>
    <w:p w14:paraId="27941925">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楷体_GB2312" w:cs="Times New Roman"/>
          <w:b w:val="0"/>
          <w:bCs w:val="0"/>
          <w:color w:val="auto"/>
          <w:sz w:val="32"/>
          <w:szCs w:val="32"/>
          <w:highlight w:val="none"/>
          <w:lang w:val="en-US" w:eastAsia="zh-CN"/>
        </w:rPr>
        <w:t>推动保障民营经济向好发展。</w:t>
      </w:r>
      <w:r>
        <w:rPr>
          <w:rFonts w:hint="eastAsia" w:ascii="仿宋_GB2312" w:hAnsi="仿宋_GB2312" w:eastAsia="仿宋_GB2312" w:cs="仿宋_GB2312"/>
          <w:b w:val="0"/>
          <w:bCs w:val="0"/>
          <w:color w:val="auto"/>
          <w:sz w:val="32"/>
          <w:szCs w:val="32"/>
          <w:highlight w:val="none"/>
          <w:lang w:val="en-US" w:eastAsia="zh-CN"/>
        </w:rPr>
        <w:t>妥善审理知识产权、金融等类型纠纷，依法保护、平等保护、实质保护民营企业产权和企业家合法权益。2024年，审理知识产权案件632件，涉案标的额1.28亿元；审理金融类案件4584件，涉案标的额49.3亿元，持续优化公平竞争的市场环境。创新适用公众评议制度的“某潮玩公司与A公司不正当竞争纠纷行为保全案”入选“2023年度深圳法院知识产权十大典型案例”。提升多元解纷综合效能，与中国（深圳）知识产权保护中心、世界知识产权组织仲裁与调解上海中心等部门联动调解，推动涉企纠纷前端高效化解。</w:t>
      </w:r>
    </w:p>
    <w:p w14:paraId="4FA516D9">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宋体" w:hAnsi="宋体" w:eastAsia="楷体_GB2312" w:cs="Times New Roman"/>
          <w:b w:val="0"/>
          <w:bCs w:val="0"/>
          <w:color w:val="auto"/>
          <w:sz w:val="32"/>
          <w:szCs w:val="32"/>
          <w:highlight w:val="none"/>
          <w:lang w:val="en-US" w:eastAsia="zh-CN"/>
        </w:rPr>
        <w:t>提升社会治理法治化水平。</w:t>
      </w:r>
      <w:r>
        <w:rPr>
          <w:rFonts w:hint="eastAsia" w:ascii="仿宋_GB2312" w:hAnsi="仿宋_GB2312" w:eastAsia="仿宋_GB2312" w:cs="仿宋_GB2312"/>
          <w:b w:val="0"/>
          <w:bCs w:val="0"/>
          <w:color w:val="auto"/>
          <w:sz w:val="32"/>
          <w:szCs w:val="32"/>
          <w:highlight w:val="none"/>
          <w:lang w:val="en-US" w:eastAsia="zh-CN"/>
        </w:rPr>
        <w:t>落实司法建议“促民生”工作，2024年，针对司法过程中发现的小额金融借贷监管力度待加强、企业恶意注销等问题，向市地方金融管理局、市市场监管局等有关部门发送综合治理类司法建议，回复率为100%，取得良好法治效果和社会效果。开展“益企行”惠企普法项目，精准对接企业需求，创新集约型、定制化普法方式，综合开展法院开放日、“企业大讲堂”讲座等活动，提升普法吸引力、参与度。2024年5月“益企行”活动开展以来，已为300余人次企业代表提供普法服务。</w:t>
      </w:r>
    </w:p>
    <w:p w14:paraId="6753B085">
      <w:pPr>
        <w:pStyle w:val="2"/>
        <w:keepNext w:val="0"/>
        <w:keepLines w:val="0"/>
        <w:pageBreakBefore w:val="0"/>
        <w:widowControl w:val="0"/>
        <w:numPr>
          <w:ilvl w:val="-1"/>
          <w:numId w:val="0"/>
        </w:numPr>
        <w:kinsoku/>
        <w:wordWrap/>
        <w:overflowPunct w:val="0"/>
        <w:topLinePunct w:val="0"/>
        <w:autoSpaceDE/>
        <w:autoSpaceDN/>
        <w:bidi w:val="0"/>
        <w:adjustRightInd/>
        <w:snapToGrid/>
        <w:spacing w:line="576" w:lineRule="exact"/>
        <w:ind w:firstLine="640" w:firstLineChars="200"/>
        <w:jc w:val="left"/>
        <w:textAlignment w:val="auto"/>
        <w:outlineLvl w:val="9"/>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四</w:t>
      </w:r>
      <w:r>
        <w:rPr>
          <w:rFonts w:hint="eastAsia" w:ascii="黑体" w:hAnsi="黑体" w:eastAsia="黑体" w:cs="黑体"/>
          <w:bCs/>
          <w:color w:val="auto"/>
          <w:sz w:val="32"/>
          <w:szCs w:val="32"/>
          <w:highlight w:val="none"/>
          <w:lang w:val="en-US" w:eastAsia="zh-CN"/>
        </w:rPr>
        <w:t>、</w:t>
      </w:r>
      <w:r>
        <w:rPr>
          <w:rFonts w:hint="default" w:ascii="黑体" w:hAnsi="黑体" w:eastAsia="黑体" w:cs="黑体"/>
          <w:bCs/>
          <w:color w:val="auto"/>
          <w:sz w:val="32"/>
          <w:szCs w:val="32"/>
          <w:highlight w:val="none"/>
          <w:lang w:val="en-US" w:eastAsia="zh-CN"/>
        </w:rPr>
        <w:t>做实改革创新，以更高水平体制机制建设助推粤港澳大湾区融合发展</w:t>
      </w:r>
    </w:p>
    <w:p w14:paraId="0CD4190B">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napToGrid w:val="0"/>
          <w:color w:val="auto"/>
          <w:kern w:val="0"/>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深化</w:t>
      </w:r>
      <w:r>
        <w:rPr>
          <w:rFonts w:hint="eastAsia" w:ascii="宋体" w:hAnsi="宋体" w:eastAsia="楷体_GB2312" w:cs="Times New Roman"/>
          <w:b w:val="0"/>
          <w:bCs w:val="0"/>
          <w:snapToGrid/>
          <w:color w:val="auto"/>
          <w:kern w:val="2"/>
          <w:sz w:val="32"/>
          <w:szCs w:val="32"/>
          <w:highlight w:val="none"/>
        </w:rPr>
        <w:t>跨境商事法律规则衔接。</w:t>
      </w:r>
      <w:r>
        <w:rPr>
          <w:rFonts w:hint="eastAsia" w:ascii="仿宋_GB2312" w:hAnsi="仿宋_GB2312" w:eastAsia="仿宋_GB2312" w:cs="仿宋_GB2312"/>
          <w:b w:val="0"/>
          <w:bCs w:val="0"/>
          <w:snapToGrid/>
          <w:color w:val="auto"/>
          <w:kern w:val="2"/>
          <w:sz w:val="32"/>
          <w:szCs w:val="32"/>
          <w:highlight w:val="none"/>
          <w:lang w:eastAsia="zh-CN"/>
        </w:rPr>
        <w:t>聚焦</w:t>
      </w:r>
      <w:r>
        <w:rPr>
          <w:rFonts w:hint="eastAsia" w:ascii="仿宋_GB2312" w:hAnsi="仿宋_GB2312" w:eastAsia="仿宋_GB2312" w:cs="仿宋_GB2312"/>
          <w:b w:val="0"/>
          <w:bCs w:val="0"/>
          <w:snapToGrid w:val="0"/>
          <w:color w:val="auto"/>
          <w:kern w:val="0"/>
          <w:sz w:val="32"/>
          <w:szCs w:val="32"/>
          <w:highlight w:val="none"/>
        </w:rPr>
        <w:t>属实申述、</w:t>
      </w:r>
      <w:r>
        <w:rPr>
          <w:rFonts w:hint="eastAsia" w:ascii="仿宋_GB2312" w:hAnsi="仿宋_GB2312" w:eastAsia="仿宋_GB2312" w:cs="仿宋_GB2312"/>
          <w:snapToGrid w:val="0"/>
          <w:color w:val="auto"/>
          <w:kern w:val="0"/>
          <w:sz w:val="32"/>
          <w:szCs w:val="32"/>
          <w:highlight w:val="none"/>
        </w:rPr>
        <w:t>交叉询问、</w:t>
      </w:r>
      <w:r>
        <w:rPr>
          <w:rFonts w:hint="eastAsia" w:ascii="仿宋_GB2312" w:hAnsi="仿宋_GB2312" w:eastAsia="仿宋_GB2312" w:cs="仿宋_GB2312"/>
          <w:b w:val="0"/>
          <w:bCs w:val="0"/>
          <w:snapToGrid w:val="0"/>
          <w:color w:val="auto"/>
          <w:kern w:val="0"/>
          <w:sz w:val="32"/>
          <w:szCs w:val="32"/>
          <w:highlight w:val="none"/>
        </w:rPr>
        <w:t>转交送达等20余项衔接点，</w:t>
      </w:r>
      <w:r>
        <w:rPr>
          <w:rFonts w:hint="eastAsia" w:ascii="仿宋_GB2312" w:hAnsi="仿宋_GB2312" w:eastAsia="仿宋_GB2312" w:cs="仿宋_GB2312"/>
          <w:b w:val="0"/>
          <w:bCs w:val="0"/>
          <w:snapToGrid w:val="0"/>
          <w:color w:val="auto"/>
          <w:kern w:val="0"/>
          <w:sz w:val="32"/>
          <w:szCs w:val="32"/>
          <w:highlight w:val="none"/>
          <w:lang w:eastAsia="zh-CN"/>
        </w:rPr>
        <w:t>建立健全</w:t>
      </w:r>
      <w:r>
        <w:rPr>
          <w:rFonts w:hint="eastAsia" w:ascii="仿宋_GB2312" w:hAnsi="仿宋_GB2312" w:eastAsia="仿宋_GB2312" w:cs="仿宋_GB2312"/>
          <w:b w:val="0"/>
          <w:bCs w:val="0"/>
          <w:snapToGrid w:val="0"/>
          <w:color w:val="auto"/>
          <w:kern w:val="0"/>
          <w:sz w:val="32"/>
          <w:szCs w:val="32"/>
          <w:highlight w:val="none"/>
          <w:lang w:val="en-US" w:eastAsia="zh-CN"/>
        </w:rPr>
        <w:t>17项创新制度性成果，</w:t>
      </w:r>
      <w:r>
        <w:rPr>
          <w:rFonts w:hint="eastAsia" w:ascii="仿宋_GB2312" w:hAnsi="仿宋_GB2312" w:eastAsia="仿宋_GB2312" w:cs="仿宋_GB2312"/>
          <w:b w:val="0"/>
          <w:bCs w:val="0"/>
          <w:snapToGrid w:val="0"/>
          <w:color w:val="auto"/>
          <w:kern w:val="0"/>
          <w:sz w:val="32"/>
          <w:szCs w:val="32"/>
          <w:highlight w:val="none"/>
        </w:rPr>
        <w:t>配套制定送达示范条款、</w:t>
      </w:r>
      <w:r>
        <w:rPr>
          <w:rFonts w:hint="eastAsia" w:ascii="仿宋_GB2312" w:hAnsi="仿宋_GB2312" w:eastAsia="仿宋_GB2312" w:cs="仿宋_GB2312"/>
          <w:b w:val="0"/>
          <w:bCs w:val="0"/>
          <w:snapToGrid w:val="0"/>
          <w:color w:val="auto"/>
          <w:kern w:val="0"/>
          <w:sz w:val="32"/>
          <w:szCs w:val="32"/>
          <w:highlight w:val="none"/>
          <w:lang w:eastAsia="zh-CN"/>
        </w:rPr>
        <w:t>公司章程示范文本</w:t>
      </w:r>
      <w:r>
        <w:rPr>
          <w:rFonts w:hint="eastAsia" w:ascii="仿宋_GB2312" w:hAnsi="仿宋_GB2312" w:eastAsia="仿宋_GB2312" w:cs="仿宋_GB2312"/>
          <w:b w:val="0"/>
          <w:bCs w:val="0"/>
          <w:snapToGrid w:val="0"/>
          <w:color w:val="auto"/>
          <w:kern w:val="0"/>
          <w:sz w:val="32"/>
          <w:szCs w:val="32"/>
          <w:highlight w:val="none"/>
        </w:rPr>
        <w:t>等，</w:t>
      </w:r>
      <w:r>
        <w:rPr>
          <w:rFonts w:hint="eastAsia" w:ascii="仿宋_GB2312" w:hAnsi="仿宋_GB2312" w:eastAsia="仿宋_GB2312" w:cs="仿宋_GB2312"/>
          <w:snapToGrid w:val="0"/>
          <w:color w:val="auto"/>
          <w:kern w:val="0"/>
          <w:sz w:val="32"/>
          <w:szCs w:val="32"/>
          <w:highlight w:val="none"/>
          <w:lang w:val="en-US" w:eastAsia="zh-CN"/>
        </w:rPr>
        <w:t>营造粤港澳大湾区高效便捷的诉讼环境</w:t>
      </w:r>
      <w:r>
        <w:rPr>
          <w:rFonts w:hint="eastAsia" w:ascii="仿宋_GB2312" w:hAnsi="仿宋_GB2312" w:eastAsia="仿宋_GB2312" w:cs="仿宋_GB2312"/>
          <w:b w:val="0"/>
          <w:bCs w:val="0"/>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强化</w:t>
      </w:r>
      <w:r>
        <w:rPr>
          <w:rFonts w:hint="eastAsia" w:ascii="仿宋_GB2312" w:hAnsi="仿宋_GB2312" w:eastAsia="仿宋_GB2312" w:cs="仿宋_GB2312"/>
          <w:snapToGrid w:val="0"/>
          <w:color w:val="auto"/>
          <w:kern w:val="0"/>
          <w:sz w:val="32"/>
          <w:szCs w:val="32"/>
          <w:highlight w:val="none"/>
        </w:rPr>
        <w:t>跨境商事法律规则衔接成果</w:t>
      </w:r>
      <w:r>
        <w:rPr>
          <w:rFonts w:hint="eastAsia" w:ascii="仿宋_GB2312" w:hAnsi="仿宋_GB2312" w:eastAsia="仿宋_GB2312" w:cs="仿宋_GB2312"/>
          <w:snapToGrid w:val="0"/>
          <w:color w:val="auto"/>
          <w:kern w:val="0"/>
          <w:sz w:val="32"/>
          <w:szCs w:val="32"/>
          <w:highlight w:val="none"/>
          <w:lang w:eastAsia="zh-CN"/>
        </w:rPr>
        <w:t>总结，</w:t>
      </w:r>
      <w:r>
        <w:rPr>
          <w:rFonts w:hint="eastAsia" w:ascii="仿宋_GB2312" w:hAnsi="仿宋_GB2312" w:eastAsia="仿宋_GB2312" w:cs="仿宋_GB2312"/>
          <w:snapToGrid w:val="0"/>
          <w:color w:val="auto"/>
          <w:kern w:val="0"/>
          <w:sz w:val="32"/>
          <w:szCs w:val="32"/>
          <w:highlight w:val="none"/>
        </w:rPr>
        <w:t>编写</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粤港澳大湾区法律规则衔接研究</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第一辑3册</w:t>
      </w:r>
      <w:r>
        <w:rPr>
          <w:rFonts w:hint="eastAsia" w:ascii="仿宋_GB2312" w:hAnsi="仿宋_GB2312" w:eastAsia="仿宋_GB2312" w:cs="仿宋_GB2312"/>
          <w:snapToGrid w:val="0"/>
          <w:color w:val="auto"/>
          <w:kern w:val="0"/>
          <w:sz w:val="32"/>
          <w:szCs w:val="32"/>
          <w:highlight w:val="none"/>
        </w:rPr>
        <w:t>丛书</w:t>
      </w:r>
      <w:r>
        <w:rPr>
          <w:rFonts w:hint="eastAsia" w:ascii="仿宋_GB2312" w:hAnsi="仿宋_GB2312" w:eastAsia="仿宋_GB2312" w:cs="仿宋_GB2312"/>
          <w:snapToGrid w:val="0"/>
          <w:color w:val="auto"/>
          <w:kern w:val="0"/>
          <w:sz w:val="32"/>
          <w:szCs w:val="32"/>
          <w:highlight w:val="none"/>
          <w:lang w:val="en-US" w:eastAsia="zh-CN"/>
        </w:rPr>
        <w:t>，涵盖公司法、民间借贷、诉讼规则领域</w:t>
      </w:r>
      <w:r>
        <w:rPr>
          <w:rFonts w:hint="eastAsia" w:ascii="仿宋_GB2312" w:hAnsi="仿宋_GB2312" w:eastAsia="仿宋_GB2312" w:cs="仿宋_GB2312"/>
          <w:snapToGrid w:val="0"/>
          <w:color w:val="auto"/>
          <w:kern w:val="0"/>
          <w:sz w:val="32"/>
          <w:szCs w:val="32"/>
          <w:highlight w:val="none"/>
        </w:rPr>
        <w:t>，弥合两地商事法律信息差</w:t>
      </w:r>
      <w:r>
        <w:rPr>
          <w:rFonts w:hint="eastAsia" w:ascii="仿宋_GB2312" w:hAnsi="仿宋_GB2312" w:eastAsia="仿宋_GB2312" w:cs="仿宋_GB2312"/>
          <w:snapToGrid w:val="0"/>
          <w:color w:val="auto"/>
          <w:kern w:val="0"/>
          <w:sz w:val="32"/>
          <w:szCs w:val="32"/>
          <w:highlight w:val="none"/>
          <w:lang w:eastAsia="zh-CN"/>
        </w:rPr>
        <w:t>，为跨境商事活动提供指引</w:t>
      </w:r>
      <w:r>
        <w:rPr>
          <w:rFonts w:hint="eastAsia" w:ascii="仿宋_GB2312" w:hAnsi="仿宋_GB2312" w:eastAsia="仿宋_GB2312" w:cs="仿宋_GB2312"/>
          <w:b w:val="0"/>
          <w:bCs w:val="0"/>
          <w:snapToGrid w:val="0"/>
          <w:color w:val="auto"/>
          <w:kern w:val="0"/>
          <w:sz w:val="32"/>
          <w:szCs w:val="32"/>
          <w:highlight w:val="none"/>
        </w:rPr>
        <w:t>。</w:t>
      </w:r>
      <w:r>
        <w:rPr>
          <w:rFonts w:hint="eastAsia" w:ascii="仿宋_GB2312" w:hAnsi="仿宋_GB2312" w:eastAsia="仿宋_GB2312" w:cs="仿宋_GB2312"/>
          <w:b w:val="0"/>
          <w:bCs w:val="0"/>
          <w:snapToGrid w:val="0"/>
          <w:color w:val="auto"/>
          <w:kern w:val="0"/>
          <w:sz w:val="32"/>
          <w:szCs w:val="32"/>
          <w:highlight w:val="none"/>
          <w:lang w:val="en-US" w:eastAsia="zh-CN"/>
        </w:rPr>
        <w:t>2024年，《构建‘三横六纵’跨境商事法律规则衔接规范体系，打造跨境商事法律规则衔接‘前海样本’》等2个改革创新案例入选深圳涉外法治建设首批创新成果，《</w:t>
      </w:r>
      <w:r>
        <w:rPr>
          <w:rFonts w:hint="eastAsia" w:ascii="仿宋_GB2312" w:hAnsi="仿宋_GB2312" w:eastAsia="仿宋_GB2312" w:cs="仿宋_GB2312"/>
          <w:snapToGrid w:val="0"/>
          <w:color w:val="auto"/>
          <w:kern w:val="0"/>
          <w:sz w:val="32"/>
          <w:szCs w:val="32"/>
          <w:highlight w:val="none"/>
        </w:rPr>
        <w:t>探索深港跨境法律规则衔接，打造一流法治化营商环境</w:t>
      </w:r>
      <w:r>
        <w:rPr>
          <w:rFonts w:hint="eastAsia" w:ascii="仿宋_GB2312" w:hAnsi="仿宋_GB2312" w:eastAsia="仿宋_GB2312" w:cs="仿宋_GB2312"/>
          <w:b w:val="0"/>
          <w:bCs w:val="0"/>
          <w:snapToGrid w:val="0"/>
          <w:color w:val="auto"/>
          <w:kern w:val="0"/>
          <w:sz w:val="32"/>
          <w:szCs w:val="32"/>
          <w:highlight w:val="none"/>
          <w:lang w:val="en-US" w:eastAsia="zh-CN"/>
        </w:rPr>
        <w:t>》获评</w:t>
      </w:r>
      <w:r>
        <w:rPr>
          <w:rFonts w:hint="eastAsia" w:ascii="仿宋_GB2312" w:hAnsi="仿宋_GB2312" w:eastAsia="仿宋_GB2312" w:cs="仿宋_GB2312"/>
          <w:snapToGrid w:val="0"/>
          <w:color w:val="auto"/>
          <w:kern w:val="0"/>
          <w:sz w:val="32"/>
          <w:szCs w:val="32"/>
          <w:highlight w:val="none"/>
        </w:rPr>
        <w:t>深圳市2024年法治改革创新项目</w:t>
      </w:r>
      <w:r>
        <w:rPr>
          <w:rFonts w:hint="eastAsia" w:ascii="仿宋_GB2312" w:hAnsi="仿宋_GB2312" w:eastAsia="仿宋_GB2312" w:cs="仿宋_GB2312"/>
          <w:snapToGrid w:val="0"/>
          <w:color w:val="auto"/>
          <w:kern w:val="0"/>
          <w:sz w:val="32"/>
          <w:szCs w:val="32"/>
          <w:highlight w:val="none"/>
          <w:lang w:eastAsia="zh-CN"/>
        </w:rPr>
        <w:t>。</w:t>
      </w:r>
    </w:p>
    <w:p w14:paraId="42F9BEF8">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完善当事人依法约定管辖制度。</w:t>
      </w:r>
      <w:r>
        <w:rPr>
          <w:rFonts w:hint="eastAsia" w:ascii="仿宋_GB2312" w:hAnsi="仿宋_GB2312" w:eastAsia="仿宋_GB2312" w:cs="仿宋_GB2312"/>
          <w:color w:val="auto"/>
          <w:sz w:val="32"/>
          <w:szCs w:val="32"/>
          <w:highlight w:val="none"/>
          <w:lang w:val="en-US" w:eastAsia="zh-CN"/>
        </w:rPr>
        <w:t>制定《涉外涉港澳台商事纠纷诉讼管辖协议示范条款》，供开展跨境交易合作的缔约方订立相关合同时参考适用，提升管辖协议约定内容的规范性和有效性。</w:t>
      </w:r>
      <w:r>
        <w:rPr>
          <w:rFonts w:hint="eastAsia" w:ascii="仿宋_GB2312" w:hAnsi="仿宋_GB2312" w:eastAsia="仿宋_GB2312" w:cs="仿宋_GB2312"/>
          <w:color w:val="auto"/>
          <w:sz w:val="32"/>
          <w:szCs w:val="32"/>
          <w:highlight w:val="none"/>
        </w:rPr>
        <w:t>依据</w:t>
      </w:r>
      <w:r>
        <w:rPr>
          <w:rFonts w:hint="eastAsia" w:ascii="仿宋_GB2312" w:hAnsi="仿宋_GB2312" w:eastAsia="仿宋_GB2312" w:cs="仿宋_GB2312"/>
          <w:color w:val="auto"/>
          <w:sz w:val="32"/>
          <w:szCs w:val="32"/>
          <w:highlight w:val="none"/>
          <w:lang w:eastAsia="zh-CN"/>
        </w:rPr>
        <w:t>港澳</w:t>
      </w:r>
      <w:r>
        <w:rPr>
          <w:rFonts w:hint="eastAsia" w:ascii="仿宋_GB2312" w:hAnsi="仿宋_GB2312" w:eastAsia="仿宋_GB2312" w:cs="仿宋_GB2312"/>
          <w:color w:val="auto"/>
          <w:sz w:val="32"/>
          <w:szCs w:val="32"/>
          <w:highlight w:val="none"/>
        </w:rPr>
        <w:t>当事人约定前海法院管辖条款依法行使管辖权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“袁某与蔡某亨民间借贷纠纷案”入选“广东法院第七批粤港澳大湾区跨境纠纷典型案例”</w:t>
      </w:r>
      <w:r>
        <w:rPr>
          <w:rFonts w:hint="eastAsia" w:ascii="仿宋_GB2312" w:hAnsi="仿宋_GB2312" w:eastAsia="仿宋_GB2312" w:cs="仿宋_GB2312"/>
          <w:color w:val="auto"/>
          <w:sz w:val="32"/>
          <w:szCs w:val="32"/>
          <w:highlight w:val="none"/>
          <w:lang w:eastAsia="zh-CN"/>
        </w:rPr>
        <w:t>。</w:t>
      </w:r>
    </w:p>
    <w:p w14:paraId="7529EA59">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完善当事人选择适用域外法制度。</w:t>
      </w:r>
      <w:r>
        <w:rPr>
          <w:rFonts w:hint="eastAsia" w:ascii="仿宋_GB2312" w:hAnsi="仿宋_GB2312" w:eastAsia="仿宋_GB2312" w:cs="仿宋_GB2312"/>
          <w:b w:val="0"/>
          <w:bCs w:val="0"/>
          <w:color w:val="auto"/>
          <w:sz w:val="32"/>
          <w:szCs w:val="32"/>
          <w:highlight w:val="none"/>
          <w:lang w:val="en-US" w:eastAsia="zh-CN"/>
        </w:rPr>
        <w:t>规范域外法查明与适用标准和程序，完善法律专家查明法律制度，确保域外法“应用尽用”。截至</w:t>
      </w:r>
      <w:r>
        <w:rPr>
          <w:rFonts w:hint="eastAsia" w:ascii="仿宋_GB2312" w:hAnsi="仿宋_GB2312" w:eastAsia="仿宋_GB2312" w:cs="仿宋_GB2312"/>
          <w:color w:val="auto"/>
          <w:sz w:val="32"/>
          <w:szCs w:val="32"/>
          <w:highlight w:val="none"/>
          <w:lang w:val="en-US" w:eastAsia="zh-CN"/>
        </w:rPr>
        <w:t>2024年12月31日，累计适用域外法、国际条约、国际惯例审理案件236件，其中适用香港法审理案件149件；共有8名域外法律专家出庭提供法律查明协助。编写《前海法院适用域外法案例评述》，提升适用域外法公信力、影响力。</w:t>
      </w:r>
    </w:p>
    <w:p w14:paraId="318A3ED9">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楷体_GB2312" w:cs="Times New Roman"/>
          <w:b w:val="0"/>
          <w:bCs w:val="0"/>
          <w:color w:val="auto"/>
          <w:sz w:val="32"/>
          <w:szCs w:val="32"/>
          <w:highlight w:val="none"/>
          <w:lang w:val="en-US" w:eastAsia="zh-CN"/>
        </w:rPr>
        <w:t>打造国际化多元纠纷解决新平台。</w:t>
      </w:r>
      <w:r>
        <w:rPr>
          <w:rFonts w:hint="eastAsia" w:ascii="仿宋_GB2312" w:hAnsi="仿宋_GB2312" w:eastAsia="仿宋_GB2312" w:cs="仿宋_GB2312"/>
          <w:b w:val="0"/>
          <w:bCs w:val="0"/>
          <w:color w:val="auto"/>
          <w:sz w:val="32"/>
          <w:szCs w:val="32"/>
          <w:highlight w:val="none"/>
          <w:lang w:val="en-US" w:eastAsia="zh-CN"/>
        </w:rPr>
        <w:t>深化ADR国际商事争议解决中心建设，先后与深圳市前海国际商事调解中心等42家境内外调解、仲裁机构建立合作关系，聘请包括35名大湾区律师、30名跨国律师在内的221名域内外调解员，开展多语种、专业化调解工作。</w:t>
      </w:r>
      <w:r>
        <w:rPr>
          <w:rFonts w:hint="eastAsia" w:ascii="仿宋_GB2312" w:hAnsi="仿宋_GB2312" w:eastAsia="仿宋_GB2312" w:cs="仿宋_GB2312"/>
          <w:color w:val="auto"/>
          <w:sz w:val="32"/>
          <w:szCs w:val="32"/>
          <w:highlight w:val="none"/>
          <w:lang w:val="en-US" w:eastAsia="zh-CN"/>
        </w:rPr>
        <w:t>经最高法院批准，</w:t>
      </w:r>
      <w:r>
        <w:rPr>
          <w:rFonts w:hint="eastAsia" w:ascii="仿宋_GB2312" w:hAnsi="仿宋_GB2312" w:eastAsia="仿宋_GB2312" w:cs="仿宋_GB2312"/>
          <w:b w:val="0"/>
          <w:bCs w:val="0"/>
          <w:color w:val="auto"/>
          <w:sz w:val="32"/>
          <w:szCs w:val="32"/>
          <w:highlight w:val="none"/>
          <w:lang w:val="en-US" w:eastAsia="zh-CN"/>
        </w:rPr>
        <w:t>在全国率先试点聘请香港调解会、香港和解中心、内地-香港联合调解中心为前海法院特邀调解组织，自2024年6月试点运行至12月31日，香港特邀调解组织在前海法院调解跨境商事案件184件（已结案件154件），成功调解67件，成功率43.5%，受到内地和港澳地区广泛关注。</w:t>
      </w:r>
      <w:r>
        <w:rPr>
          <w:rFonts w:hint="eastAsia" w:ascii="仿宋_GB2312" w:hAnsi="仿宋_GB2312" w:eastAsia="仿宋_GB2312" w:cs="仿宋_GB2312"/>
          <w:color w:val="auto"/>
          <w:sz w:val="32"/>
          <w:szCs w:val="32"/>
          <w:highlight w:val="none"/>
          <w:lang w:val="en-US" w:eastAsia="zh-CN"/>
        </w:rPr>
        <w:t>吸收借鉴中立第三方评估、公众评议等国际先进的替代性纠纷解决机制，联动香港开展大湾区调解经验交流分享，推动调解规则有序衔接。</w:t>
      </w:r>
    </w:p>
    <w:p w14:paraId="7B183C5C">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napToGrid w:val="0"/>
          <w:color w:val="auto"/>
          <w:kern w:val="0"/>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凝聚港澳地区专业人士力量。</w:t>
      </w:r>
      <w:r>
        <w:rPr>
          <w:rFonts w:hint="eastAsia" w:ascii="仿宋_GB2312" w:hAnsi="仿宋_GB2312" w:eastAsia="仿宋_GB2312" w:cs="仿宋_GB2312"/>
          <w:b w:val="0"/>
          <w:bCs w:val="0"/>
          <w:snapToGrid w:val="0"/>
          <w:color w:val="auto"/>
          <w:kern w:val="0"/>
          <w:sz w:val="32"/>
          <w:szCs w:val="32"/>
          <w:highlight w:val="none"/>
          <w:lang w:val="en-US" w:eastAsia="zh-CN"/>
        </w:rPr>
        <w:t>先后选任三批81名香港地区陪审员，其中，2024年选任49名香港地区陪审员参审案件。截至2024年12月31日，香港地区陪审员参审案件1111件。聘请45名港澳地区调解员参与国际商事纠纷调解工作，累计调解跨境商事案件2736件。引入港澳专家研究员参与跨境商事法律规则衔接等研究实践工作，</w:t>
      </w:r>
      <w:r>
        <w:rPr>
          <w:rFonts w:hint="default" w:ascii="仿宋_GB2312" w:hAnsi="仿宋_GB2312" w:eastAsia="仿宋_GB2312" w:cs="仿宋_GB2312"/>
          <w:b w:val="0"/>
          <w:bCs w:val="0"/>
          <w:snapToGrid w:val="0"/>
          <w:color w:val="auto"/>
          <w:kern w:val="0"/>
          <w:sz w:val="32"/>
          <w:szCs w:val="32"/>
          <w:highlight w:val="none"/>
          <w:lang w:val="en-US" w:eastAsia="zh-CN"/>
        </w:rPr>
        <w:t>促进思路互动、规则互通、方法互鉴</w:t>
      </w:r>
      <w:r>
        <w:rPr>
          <w:rFonts w:hint="eastAsia" w:ascii="仿宋_GB2312" w:hAnsi="仿宋_GB2312" w:eastAsia="仿宋_GB2312" w:cs="仿宋_GB2312"/>
          <w:b w:val="0"/>
          <w:bCs w:val="0"/>
          <w:snapToGrid w:val="0"/>
          <w:color w:val="auto"/>
          <w:kern w:val="0"/>
          <w:sz w:val="32"/>
          <w:szCs w:val="32"/>
          <w:highlight w:val="none"/>
          <w:lang w:val="en-US" w:eastAsia="zh-CN"/>
        </w:rPr>
        <w:t>。面向内地和港澳高校</w:t>
      </w:r>
      <w:r>
        <w:rPr>
          <w:rFonts w:hint="default" w:ascii="仿宋_GB2312" w:hAnsi="仿宋_GB2312" w:eastAsia="仿宋_GB2312" w:cs="仿宋_GB2312"/>
          <w:b w:val="0"/>
          <w:bCs w:val="0"/>
          <w:snapToGrid w:val="0"/>
          <w:color w:val="auto"/>
          <w:kern w:val="0"/>
          <w:sz w:val="32"/>
          <w:szCs w:val="32"/>
          <w:highlight w:val="none"/>
          <w:lang w:val="en-US" w:eastAsia="zh-CN"/>
        </w:rPr>
        <w:t>接</w:t>
      </w:r>
      <w:bookmarkStart w:id="0" w:name="_GoBack"/>
      <w:bookmarkEnd w:id="0"/>
      <w:r>
        <w:rPr>
          <w:rFonts w:hint="default" w:ascii="仿宋_GB2312" w:hAnsi="仿宋_GB2312" w:eastAsia="仿宋_GB2312" w:cs="仿宋_GB2312"/>
          <w:b w:val="0"/>
          <w:bCs w:val="0"/>
          <w:snapToGrid w:val="0"/>
          <w:color w:val="auto"/>
          <w:kern w:val="0"/>
          <w:sz w:val="32"/>
          <w:szCs w:val="32"/>
          <w:highlight w:val="none"/>
          <w:lang w:val="en-US" w:eastAsia="zh-CN"/>
        </w:rPr>
        <w:t>收</w:t>
      </w:r>
      <w:r>
        <w:rPr>
          <w:rFonts w:hint="eastAsia" w:ascii="仿宋_GB2312" w:hAnsi="仿宋_GB2312" w:eastAsia="仿宋_GB2312" w:cs="仿宋_GB2312"/>
          <w:b w:val="0"/>
          <w:bCs w:val="0"/>
          <w:snapToGrid w:val="0"/>
          <w:color w:val="auto"/>
          <w:kern w:val="0"/>
          <w:sz w:val="32"/>
          <w:szCs w:val="32"/>
          <w:highlight w:val="none"/>
          <w:lang w:val="en-US" w:eastAsia="zh-CN"/>
        </w:rPr>
        <w:t>10</w:t>
      </w:r>
      <w:r>
        <w:rPr>
          <w:rFonts w:hint="default" w:ascii="仿宋_GB2312" w:hAnsi="仿宋_GB2312" w:eastAsia="仿宋_GB2312" w:cs="仿宋_GB2312"/>
          <w:b w:val="0"/>
          <w:bCs w:val="0"/>
          <w:snapToGrid w:val="0"/>
          <w:color w:val="auto"/>
          <w:kern w:val="0"/>
          <w:sz w:val="32"/>
          <w:szCs w:val="32"/>
          <w:highlight w:val="none"/>
          <w:lang w:val="en-US" w:eastAsia="zh-CN"/>
        </w:rPr>
        <w:t>批</w:t>
      </w:r>
      <w:r>
        <w:rPr>
          <w:rFonts w:hint="eastAsia" w:ascii="仿宋_GB2312" w:hAnsi="仿宋_GB2312" w:eastAsia="仿宋_GB2312" w:cs="仿宋_GB2312"/>
          <w:b w:val="0"/>
          <w:bCs w:val="0"/>
          <w:snapToGrid w:val="0"/>
          <w:color w:val="auto"/>
          <w:kern w:val="0"/>
          <w:sz w:val="32"/>
          <w:szCs w:val="32"/>
          <w:highlight w:val="none"/>
          <w:lang w:val="en-US" w:eastAsia="zh-CN"/>
        </w:rPr>
        <w:t>31</w:t>
      </w:r>
      <w:r>
        <w:rPr>
          <w:rFonts w:hint="default" w:ascii="仿宋_GB2312" w:hAnsi="仿宋_GB2312" w:eastAsia="仿宋_GB2312" w:cs="仿宋_GB2312"/>
          <w:b w:val="0"/>
          <w:bCs w:val="0"/>
          <w:snapToGrid w:val="0"/>
          <w:color w:val="auto"/>
          <w:kern w:val="0"/>
          <w:sz w:val="32"/>
          <w:szCs w:val="32"/>
          <w:highlight w:val="none"/>
          <w:lang w:val="en-US" w:eastAsia="zh-CN"/>
        </w:rPr>
        <w:t>名司法研修生，</w:t>
      </w:r>
      <w:r>
        <w:rPr>
          <w:rFonts w:hint="eastAsia" w:ascii="仿宋_GB2312" w:hAnsi="仿宋_GB2312" w:eastAsia="仿宋_GB2312" w:cs="仿宋_GB2312"/>
          <w:b w:val="0"/>
          <w:bCs w:val="0"/>
          <w:snapToGrid w:val="0"/>
          <w:color w:val="auto"/>
          <w:kern w:val="0"/>
          <w:sz w:val="32"/>
          <w:szCs w:val="32"/>
          <w:highlight w:val="none"/>
          <w:lang w:val="en-US" w:eastAsia="zh-CN"/>
        </w:rPr>
        <w:t>协助形成20余项研究成果，</w:t>
      </w:r>
      <w:r>
        <w:rPr>
          <w:rFonts w:hint="default" w:ascii="仿宋_GB2312" w:hAnsi="仿宋_GB2312" w:eastAsia="仿宋_GB2312" w:cs="仿宋_GB2312"/>
          <w:b w:val="0"/>
          <w:bCs w:val="0"/>
          <w:snapToGrid w:val="0"/>
          <w:color w:val="auto"/>
          <w:kern w:val="0"/>
          <w:sz w:val="32"/>
          <w:szCs w:val="32"/>
          <w:highlight w:val="none"/>
          <w:lang w:val="en-US" w:eastAsia="zh-CN"/>
        </w:rPr>
        <w:t>凝聚湾区法治合力。</w:t>
      </w:r>
    </w:p>
    <w:p w14:paraId="5EB45296">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napToGrid w:val="0"/>
          <w:color w:val="auto"/>
          <w:kern w:val="0"/>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深化与港澳地区司法交流协作。</w:t>
      </w:r>
      <w:r>
        <w:rPr>
          <w:rFonts w:hint="eastAsia" w:ascii="仿宋_GB2312" w:hAnsi="仿宋_GB2312" w:eastAsia="仿宋_GB2312" w:cs="仿宋_GB2312"/>
          <w:b w:val="0"/>
          <w:bCs w:val="0"/>
          <w:snapToGrid w:val="0"/>
          <w:color w:val="auto"/>
          <w:kern w:val="0"/>
          <w:sz w:val="32"/>
          <w:szCs w:val="32"/>
          <w:highlight w:val="none"/>
          <w:lang w:val="en-US" w:eastAsia="zh-CN"/>
        </w:rPr>
        <w:t>增强与港澳司法机构、高等院校司法交流力度，推动跨境司法交流常态化。2024年以来，接待澳门特区第六任行政长官（时任澳门终审法院院长）岑浩辉、香港特区政府律政司司长林定国等港澳地区人士来访交流110余人次。受邀参加第19届海峡两岸及粤港澳大湾区民法论坛等活动，促进司法互助互信。强化区际司法协助，根据最高法院授权，累计在7件案件中直接委托澳门终审法院协助送达司法文书，提升司法协助效率。</w:t>
      </w:r>
    </w:p>
    <w:p w14:paraId="0A0FA536">
      <w:pPr>
        <w:pStyle w:val="2"/>
        <w:keepNext w:val="0"/>
        <w:keepLines w:val="0"/>
        <w:pageBreakBefore w:val="0"/>
        <w:widowControl w:val="0"/>
        <w:numPr>
          <w:ilvl w:val="-1"/>
          <w:numId w:val="0"/>
        </w:numPr>
        <w:kinsoku/>
        <w:wordWrap/>
        <w:overflowPunct w:val="0"/>
        <w:topLinePunct w:val="0"/>
        <w:autoSpaceDE/>
        <w:autoSpaceDN/>
        <w:bidi w:val="0"/>
        <w:adjustRightInd/>
        <w:snapToGrid/>
        <w:spacing w:line="576" w:lineRule="exact"/>
        <w:ind w:firstLine="640" w:firstLineChars="200"/>
        <w:jc w:val="left"/>
        <w:textAlignment w:val="auto"/>
        <w:outlineLvl w:val="9"/>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五、</w:t>
      </w:r>
      <w:r>
        <w:rPr>
          <w:rFonts w:hint="default" w:ascii="黑体" w:hAnsi="黑体" w:eastAsia="黑体" w:cs="黑体"/>
          <w:bCs/>
          <w:color w:val="auto"/>
          <w:sz w:val="32"/>
          <w:szCs w:val="32"/>
          <w:highlight w:val="none"/>
          <w:lang w:val="en-US" w:eastAsia="zh-CN"/>
        </w:rPr>
        <w:t>做实</w:t>
      </w:r>
      <w:r>
        <w:rPr>
          <w:rFonts w:hint="eastAsia" w:ascii="黑体" w:hAnsi="黑体" w:eastAsia="黑体" w:cs="黑体"/>
          <w:bCs/>
          <w:color w:val="auto"/>
          <w:sz w:val="32"/>
          <w:szCs w:val="32"/>
          <w:highlight w:val="none"/>
          <w:lang w:val="en-US" w:eastAsia="zh-CN"/>
        </w:rPr>
        <w:t>监督管理</w:t>
      </w:r>
      <w:r>
        <w:rPr>
          <w:rFonts w:hint="default" w:ascii="黑体" w:hAnsi="黑体" w:eastAsia="黑体" w:cs="黑体"/>
          <w:bCs/>
          <w:color w:val="auto"/>
          <w:sz w:val="32"/>
          <w:szCs w:val="32"/>
          <w:highlight w:val="none"/>
          <w:lang w:val="en-US" w:eastAsia="zh-CN"/>
        </w:rPr>
        <w:t>，以</w:t>
      </w:r>
      <w:r>
        <w:rPr>
          <w:rFonts w:hint="eastAsia" w:ascii="黑体" w:hAnsi="黑体" w:eastAsia="黑体" w:cs="黑体"/>
          <w:bCs/>
          <w:color w:val="auto"/>
          <w:sz w:val="32"/>
          <w:szCs w:val="32"/>
          <w:highlight w:val="none"/>
          <w:lang w:val="en-US" w:eastAsia="zh-CN"/>
        </w:rPr>
        <w:t>更优机制</w:t>
      </w:r>
      <w:r>
        <w:rPr>
          <w:rFonts w:hint="default" w:ascii="黑体" w:hAnsi="黑体" w:eastAsia="黑体" w:cs="黑体"/>
          <w:bCs/>
          <w:color w:val="auto"/>
          <w:sz w:val="32"/>
          <w:szCs w:val="32"/>
          <w:highlight w:val="none"/>
        </w:rPr>
        <w:t>落实和完善司法责任制</w:t>
      </w:r>
    </w:p>
    <w:p w14:paraId="6681E955">
      <w:pPr>
        <w:pStyle w:val="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0"/>
        <w:rPr>
          <w:rFonts w:hint="default" w:ascii="仿宋_GB2312" w:hAnsi="仿宋_GB2312" w:eastAsia="仿宋_GB2312" w:cs="仿宋_GB2312"/>
          <w:color w:val="auto"/>
          <w:sz w:val="32"/>
          <w:szCs w:val="32"/>
          <w:highlight w:val="none"/>
          <w:lang w:val="en-US" w:eastAsia="zh-CN"/>
        </w:rPr>
      </w:pPr>
      <w:r>
        <w:rPr>
          <w:rFonts w:hint="eastAsia" w:ascii="宋体" w:hAnsi="宋体" w:eastAsia="楷体_GB2312" w:cs="Times New Roman"/>
          <w:bCs w:val="0"/>
          <w:color w:val="auto"/>
          <w:sz w:val="32"/>
          <w:szCs w:val="32"/>
          <w:highlight w:val="none"/>
          <w:lang w:val="en-US" w:eastAsia="zh-CN"/>
        </w:rPr>
        <w:t>严抓</w:t>
      </w:r>
      <w:r>
        <w:rPr>
          <w:rFonts w:hint="default" w:ascii="宋体" w:hAnsi="宋体" w:eastAsia="楷体_GB2312" w:cs="Times New Roman"/>
          <w:bCs w:val="0"/>
          <w:color w:val="auto"/>
          <w:sz w:val="32"/>
          <w:szCs w:val="32"/>
          <w:highlight w:val="none"/>
        </w:rPr>
        <w:t>审判精细化管理</w:t>
      </w:r>
      <w:r>
        <w:rPr>
          <w:rFonts w:hint="eastAsia" w:ascii="宋体" w:hAnsi="宋体" w:eastAsia="楷体_GB2312" w:cs="Times New Roman"/>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坚持</w:t>
      </w:r>
      <w:r>
        <w:rPr>
          <w:rFonts w:hint="eastAsia" w:ascii="仿宋_GB2312" w:hAnsi="仿宋_GB2312" w:eastAsia="仿宋_GB2312" w:cs="仿宋_GB2312"/>
          <w:color w:val="auto"/>
          <w:sz w:val="32"/>
          <w:szCs w:val="32"/>
          <w:highlight w:val="none"/>
        </w:rPr>
        <w:t>以审判质量、效率、效果有机统一为导向，</w:t>
      </w:r>
      <w:r>
        <w:rPr>
          <w:rFonts w:hint="eastAsia" w:ascii="仿宋_GB2312" w:hAnsi="仿宋_GB2312" w:eastAsia="仿宋_GB2312" w:cs="仿宋_GB2312"/>
          <w:color w:val="auto"/>
          <w:sz w:val="32"/>
          <w:szCs w:val="32"/>
          <w:highlight w:val="none"/>
          <w:lang w:val="en-US" w:eastAsia="zh-CN"/>
        </w:rPr>
        <w:t>持续建立健全</w:t>
      </w:r>
      <w:r>
        <w:rPr>
          <w:rFonts w:hint="eastAsia" w:ascii="仿宋_GB2312" w:hAnsi="仿宋_GB2312" w:eastAsia="仿宋_GB2312" w:cs="仿宋_GB2312"/>
          <w:color w:val="auto"/>
          <w:sz w:val="32"/>
          <w:szCs w:val="32"/>
          <w:highlight w:val="none"/>
        </w:rPr>
        <w:t>符合司法规律、务实管用的审判质量管理指标体系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连续获评全市法院“综合提升审判质效创先争优工作”综合优胜单位，被确定为第一批“办案良性循环法院”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制定并完善</w:t>
      </w:r>
      <w:r>
        <w:rPr>
          <w:rFonts w:hint="eastAsia" w:ascii="仿宋_GB2312" w:hAnsi="仿宋_GB2312" w:eastAsia="仿宋_GB2312" w:cs="仿宋_GB2312"/>
          <w:color w:val="auto"/>
          <w:sz w:val="32"/>
          <w:szCs w:val="32"/>
          <w:highlight w:val="none"/>
        </w:rPr>
        <w:t>《2024年各审判团队分案类型及审判基本任务指标》，优化权重系数折算标准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健全动态分案机制，实时监控人案配比，促进科学合理均衡分案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深化</w:t>
      </w:r>
      <w:r>
        <w:rPr>
          <w:rFonts w:hint="eastAsia" w:ascii="仿宋_GB2312" w:hAnsi="仿宋_GB2312" w:eastAsia="仿宋_GB2312" w:cs="仿宋_GB2312"/>
          <w:color w:val="auto"/>
          <w:sz w:val="32"/>
          <w:szCs w:val="32"/>
          <w:highlight w:val="none"/>
        </w:rPr>
        <w:t>结案规范化管理，</w:t>
      </w:r>
      <w:r>
        <w:rPr>
          <w:rFonts w:hint="eastAsia" w:ascii="仿宋_GB2312" w:hAnsi="仿宋_GB2312" w:eastAsia="仿宋_GB2312" w:cs="仿宋_GB2312"/>
          <w:color w:val="auto"/>
          <w:sz w:val="32"/>
          <w:szCs w:val="32"/>
          <w:highlight w:val="none"/>
          <w:lang w:eastAsia="zh-CN"/>
        </w:rPr>
        <w:t>明晰</w:t>
      </w:r>
      <w:r>
        <w:rPr>
          <w:rFonts w:hint="eastAsia" w:ascii="仿宋_GB2312" w:hAnsi="仿宋_GB2312" w:eastAsia="仿宋_GB2312" w:cs="仿宋_GB2312"/>
          <w:color w:val="auto"/>
          <w:sz w:val="32"/>
          <w:szCs w:val="32"/>
          <w:highlight w:val="none"/>
        </w:rPr>
        <w:t>上诉案件移送流程，</w:t>
      </w:r>
      <w:r>
        <w:rPr>
          <w:rFonts w:hint="eastAsia" w:ascii="仿宋_GB2312" w:hAnsi="仿宋_GB2312" w:eastAsia="仿宋_GB2312" w:cs="仿宋_GB2312"/>
          <w:color w:val="auto"/>
          <w:sz w:val="32"/>
          <w:szCs w:val="32"/>
          <w:highlight w:val="none"/>
          <w:lang w:val="en-US" w:eastAsia="zh-CN"/>
        </w:rPr>
        <w:t>实现</w:t>
      </w:r>
      <w:r>
        <w:rPr>
          <w:rFonts w:hint="eastAsia" w:ascii="仿宋_GB2312" w:hAnsi="仿宋_GB2312" w:eastAsia="仿宋_GB2312" w:cs="仿宋_GB2312"/>
          <w:color w:val="auto"/>
          <w:sz w:val="32"/>
          <w:szCs w:val="32"/>
          <w:highlight w:val="none"/>
        </w:rPr>
        <w:t>上诉案件规范、高效移送</w:t>
      </w:r>
      <w:r>
        <w:rPr>
          <w:rFonts w:hint="eastAsia" w:ascii="仿宋_GB2312" w:hAnsi="仿宋_GB2312" w:eastAsia="仿宋_GB2312" w:cs="仿宋_GB2312"/>
          <w:color w:val="auto"/>
          <w:sz w:val="32"/>
          <w:szCs w:val="32"/>
          <w:highlight w:val="none"/>
          <w:lang w:val="en-US" w:eastAsia="zh-CN"/>
        </w:rPr>
        <w:t>。强化发改案件评查质效，</w:t>
      </w:r>
      <w:r>
        <w:rPr>
          <w:rFonts w:hint="eastAsia" w:ascii="仿宋_GB2312" w:hAnsi="仿宋_GB2312" w:eastAsia="仿宋_GB2312" w:cs="仿宋_GB2312"/>
          <w:color w:val="auto"/>
          <w:sz w:val="32"/>
          <w:szCs w:val="32"/>
          <w:highlight w:val="none"/>
        </w:rPr>
        <w:t>修订《发改案件质量评查工作规程》，开展发改案件</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专项评查4次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召开发改案件评析会5期</w:t>
      </w:r>
      <w:r>
        <w:rPr>
          <w:rFonts w:hint="eastAsia" w:ascii="仿宋_GB2312" w:hAnsi="仿宋_GB2312" w:eastAsia="仿宋_GB2312" w:cs="仿宋_GB2312"/>
          <w:color w:val="auto"/>
          <w:sz w:val="32"/>
          <w:szCs w:val="32"/>
          <w:highlight w:val="none"/>
          <w:lang w:val="en-US" w:eastAsia="zh-CN"/>
        </w:rPr>
        <w:t>。</w:t>
      </w:r>
    </w:p>
    <w:p w14:paraId="4042569A">
      <w:pPr>
        <w:pStyle w:val="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狠抓司法责任制落实。</w:t>
      </w:r>
      <w:r>
        <w:rPr>
          <w:rFonts w:hint="eastAsia" w:ascii="仿宋_GB2312" w:hAnsi="仿宋_GB2312" w:eastAsia="仿宋_GB2312" w:cs="仿宋_GB2312"/>
          <w:color w:val="auto"/>
          <w:sz w:val="32"/>
          <w:szCs w:val="32"/>
          <w:highlight w:val="none"/>
        </w:rPr>
        <w:t>坚持“让审理者裁判，由裁判者负责”，细化审判组织办案权责和院庭长监督管理权责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优化审判资源配置，制定《关于院庭长办理案件的规定（第一次修订）》，充分发挥院长、部门负责人等员额法官对审判工作的示范引领作用。</w:t>
      </w:r>
      <w:r>
        <w:rPr>
          <w:rFonts w:hint="eastAsia" w:ascii="仿宋_GB2312" w:hAnsi="仿宋_GB2312" w:eastAsia="仿宋_GB2312" w:cs="仿宋_GB2312"/>
          <w:color w:val="auto"/>
          <w:sz w:val="32"/>
          <w:szCs w:val="32"/>
          <w:highlight w:val="none"/>
        </w:rPr>
        <w:t>深化完善审判委员会制度和专业法官会议制度</w:t>
      </w:r>
      <w:r>
        <w:rPr>
          <w:rFonts w:hint="eastAsia" w:ascii="仿宋_GB2312" w:hAnsi="仿宋_GB2312" w:eastAsia="仿宋_GB2312" w:cs="仿宋_GB2312"/>
          <w:color w:val="auto"/>
          <w:sz w:val="32"/>
          <w:szCs w:val="32"/>
          <w:highlight w:val="none"/>
          <w:lang w:eastAsia="zh-CN"/>
        </w:rPr>
        <w:t>，化解疑难复杂案件，确保裁判标准统一。</w:t>
      </w:r>
      <w:r>
        <w:rPr>
          <w:rFonts w:hint="eastAsia" w:ascii="仿宋_GB2312" w:hAnsi="仿宋_GB2312" w:eastAsia="仿宋_GB2312" w:cs="仿宋_GB2312"/>
          <w:color w:val="auto"/>
          <w:sz w:val="32"/>
          <w:szCs w:val="32"/>
          <w:highlight w:val="none"/>
        </w:rPr>
        <w:t>抓实“四类案件”监管，</w:t>
      </w:r>
      <w:r>
        <w:rPr>
          <w:rFonts w:hint="eastAsia" w:ascii="仿宋_GB2312" w:hAnsi="仿宋_GB2312" w:eastAsia="仿宋_GB2312" w:cs="仿宋_GB2312"/>
          <w:color w:val="auto"/>
          <w:sz w:val="32"/>
          <w:szCs w:val="32"/>
          <w:highlight w:val="none"/>
          <w:lang w:eastAsia="zh-CN"/>
        </w:rPr>
        <w:t>持续</w:t>
      </w:r>
      <w:r>
        <w:rPr>
          <w:rFonts w:hint="eastAsia" w:ascii="仿宋_GB2312" w:hAnsi="仿宋_GB2312" w:eastAsia="仿宋_GB2312" w:cs="仿宋_GB2312"/>
          <w:color w:val="auto"/>
          <w:sz w:val="32"/>
          <w:szCs w:val="32"/>
          <w:highlight w:val="none"/>
        </w:rPr>
        <w:t>优化“四类案件”监管节点配置</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个案监督与类案办理的有机融合</w:t>
      </w:r>
      <w:r>
        <w:rPr>
          <w:rFonts w:hint="eastAsia" w:ascii="仿宋_GB2312" w:hAnsi="仿宋_GB2312" w:eastAsia="仿宋_GB2312" w:cs="仿宋_GB2312"/>
          <w:color w:val="auto"/>
          <w:sz w:val="32"/>
          <w:szCs w:val="32"/>
          <w:highlight w:val="none"/>
          <w:lang w:eastAsia="zh-CN"/>
        </w:rPr>
        <w:t>。</w:t>
      </w:r>
    </w:p>
    <w:p w14:paraId="011E867C">
      <w:pPr>
        <w:pStyle w:val="2"/>
        <w:keepNext w:val="0"/>
        <w:keepLines w:val="0"/>
        <w:pageBreakBefore w:val="0"/>
        <w:widowControl w:val="0"/>
        <w:numPr>
          <w:ilvl w:val="-1"/>
          <w:numId w:val="0"/>
        </w:numPr>
        <w:kinsoku/>
        <w:wordWrap/>
        <w:overflowPunct w:val="0"/>
        <w:topLinePunct w:val="0"/>
        <w:autoSpaceDE/>
        <w:autoSpaceDN/>
        <w:bidi w:val="0"/>
        <w:adjustRightInd/>
        <w:snapToGrid/>
        <w:spacing w:line="576" w:lineRule="exact"/>
        <w:ind w:firstLine="640" w:firstLineChars="200"/>
        <w:jc w:val="left"/>
        <w:textAlignment w:val="auto"/>
        <w:outlineLvl w:val="9"/>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六、</w:t>
      </w:r>
      <w:r>
        <w:rPr>
          <w:rFonts w:hint="default" w:ascii="黑体" w:hAnsi="黑体" w:eastAsia="黑体" w:cs="黑体"/>
          <w:bCs/>
          <w:color w:val="auto"/>
          <w:sz w:val="32"/>
          <w:szCs w:val="32"/>
          <w:highlight w:val="none"/>
          <w:lang w:val="en-US" w:eastAsia="zh-CN"/>
        </w:rPr>
        <w:t>做实队伍建设，以更高标准锻造法院铁军实现公正司法</w:t>
      </w:r>
    </w:p>
    <w:p w14:paraId="61ED1ADF">
      <w:pPr>
        <w:pStyle w:val="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0"/>
        <w:rPr>
          <w:rFonts w:hint="eastAsia" w:ascii="仿宋_GB2312" w:hAnsi="仿宋_GB2312" w:eastAsia="仿宋_GB2312" w:cs="仿宋_GB2312"/>
          <w:snapToGrid w:val="0"/>
          <w:color w:val="auto"/>
          <w:kern w:val="0"/>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全面落实从严管党治党。</w:t>
      </w:r>
      <w:r>
        <w:rPr>
          <w:rFonts w:hint="eastAsia" w:ascii="仿宋_GB2312" w:hAnsi="仿宋_GB2312" w:eastAsia="仿宋_GB2312" w:cs="仿宋_GB2312"/>
          <w:snapToGrid w:val="0"/>
          <w:color w:val="auto"/>
          <w:kern w:val="0"/>
          <w:sz w:val="32"/>
          <w:szCs w:val="32"/>
          <w:highlight w:val="none"/>
          <w:lang w:val="en-US" w:eastAsia="zh-CN"/>
        </w:rPr>
        <w:t>高标准推进党纪学习教育，采取个人自学、集中领学、专题辅导、研讨交流等方式深度学习，持续推动党纪教育入心入脑。组织开展主题党日活动12次，开展警示教育14次。持续深化“管人用人”，做好干警晋升晋级、法官晋级、评优评先等廉政审查工作。</w:t>
      </w:r>
    </w:p>
    <w:p w14:paraId="0043BBF4">
      <w:pPr>
        <w:pStyle w:val="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0"/>
        <w:rPr>
          <w:rFonts w:hint="eastAsia" w:ascii="仿宋_GB2312" w:hAnsi="仿宋_GB2312" w:eastAsia="仿宋_GB2312" w:cs="仿宋_GB2312"/>
          <w:snapToGrid w:val="0"/>
          <w:color w:val="auto"/>
          <w:kern w:val="0"/>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强化涉外法治人才培养。</w:t>
      </w:r>
      <w:r>
        <w:rPr>
          <w:rFonts w:hint="eastAsia" w:ascii="仿宋_GB2312" w:hAnsi="仿宋_GB2312" w:eastAsia="仿宋_GB2312" w:cs="仿宋_GB2312"/>
          <w:snapToGrid w:val="0"/>
          <w:color w:val="auto"/>
          <w:kern w:val="0"/>
          <w:sz w:val="32"/>
          <w:szCs w:val="32"/>
          <w:highlight w:val="none"/>
          <w:lang w:val="en-US" w:eastAsia="zh-CN"/>
        </w:rPr>
        <w:t>实施“传帮带”青年干警导师制，采取以师带徒、以案促学、结对互动的方式，手把手传授涉外法律实务有益经验。加强涉外审判能力培育，</w:t>
      </w:r>
      <w:r>
        <w:rPr>
          <w:rFonts w:hint="eastAsia" w:ascii="仿宋_GB2312" w:hAnsi="仿宋_GB2312" w:eastAsia="仿宋_GB2312" w:cs="仿宋_GB2312"/>
          <w:b w:val="0"/>
          <w:bCs w:val="0"/>
          <w:snapToGrid w:val="0"/>
          <w:color w:val="auto"/>
          <w:kern w:val="0"/>
          <w:sz w:val="32"/>
          <w:szCs w:val="32"/>
          <w:highlight w:val="none"/>
          <w:lang w:val="en-US" w:eastAsia="zh-CN"/>
        </w:rPr>
        <w:t>2024年，</w:t>
      </w:r>
      <w:r>
        <w:rPr>
          <w:rFonts w:hint="eastAsia" w:ascii="仿宋_GB2312" w:hAnsi="仿宋_GB2312" w:eastAsia="仿宋_GB2312" w:cs="仿宋_GB2312"/>
          <w:snapToGrid w:val="0"/>
          <w:color w:val="auto"/>
          <w:kern w:val="0"/>
          <w:sz w:val="32"/>
          <w:szCs w:val="32"/>
          <w:highlight w:val="none"/>
          <w:lang w:val="en-US" w:eastAsia="zh-CN"/>
        </w:rPr>
        <w:t>邀请香港地区法律专家开展普通法系列讲座8期，开展“法官沙龙”“英语角”活动4次，持续培育具备国际视野、外语优势及扎实法律基础的涉外法治人才。2024年，作为唯一的法院机构入选深圳市首批涉外法治人才实训中心。</w:t>
      </w:r>
    </w:p>
    <w:p w14:paraId="3B5DE103">
      <w:pPr>
        <w:pStyle w:val="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0"/>
        <w:rPr>
          <w:rFonts w:hint="eastAsia" w:ascii="仿宋_GB2312" w:hAnsi="仿宋_GB2312" w:eastAsia="仿宋_GB2312" w:cs="仿宋_GB2312"/>
          <w:snapToGrid w:val="0"/>
          <w:color w:val="auto"/>
          <w:kern w:val="0"/>
          <w:sz w:val="32"/>
          <w:szCs w:val="32"/>
          <w:highlight w:val="none"/>
          <w:lang w:val="en-US" w:eastAsia="zh-CN"/>
        </w:rPr>
      </w:pPr>
      <w:r>
        <w:rPr>
          <w:rFonts w:hint="eastAsia" w:ascii="宋体" w:hAnsi="宋体" w:eastAsia="楷体_GB2312" w:cs="Times New Roman"/>
          <w:b w:val="0"/>
          <w:bCs w:val="0"/>
          <w:snapToGrid/>
          <w:color w:val="auto"/>
          <w:kern w:val="2"/>
          <w:sz w:val="32"/>
          <w:szCs w:val="32"/>
          <w:highlight w:val="none"/>
          <w:lang w:val="en-US" w:eastAsia="zh-CN"/>
        </w:rPr>
        <w:t>实施科学化人性化管理</w:t>
      </w:r>
      <w:r>
        <w:rPr>
          <w:rFonts w:hint="eastAsia" w:ascii="宋体" w:hAnsi="宋体" w:eastAsia="楷体_GB2312" w:cs="Times New Roman"/>
          <w:b w:val="0"/>
          <w:bCs w:val="0"/>
          <w:snapToGrid/>
          <w:color w:val="auto"/>
          <w:kern w:val="2"/>
          <w:sz w:val="32"/>
          <w:szCs w:val="32"/>
          <w:highlight w:val="none"/>
        </w:rPr>
        <w:t>。</w:t>
      </w:r>
      <w:r>
        <w:rPr>
          <w:rFonts w:hint="eastAsia" w:ascii="仿宋_GB2312" w:hAnsi="仿宋_GB2312" w:eastAsia="仿宋_GB2312" w:cs="仿宋_GB2312"/>
          <w:b w:val="0"/>
          <w:bCs w:val="0"/>
          <w:snapToGrid w:val="0"/>
          <w:color w:val="auto"/>
          <w:kern w:val="0"/>
          <w:sz w:val="32"/>
          <w:szCs w:val="32"/>
          <w:highlight w:val="none"/>
          <w:lang w:val="en-US" w:eastAsia="zh-CN"/>
        </w:rPr>
        <w:t>完善前海法院《法官业绩评价办法》，制定法官业绩季度评价办法，对标“一降两升三优化”2.0指标体系，持续优化部分指标考核方法，</w:t>
      </w:r>
      <w:r>
        <w:rPr>
          <w:rFonts w:hint="eastAsia" w:ascii="仿宋_GB2312" w:hAnsi="仿宋_GB2312" w:eastAsia="仿宋_GB2312" w:cs="仿宋_GB2312"/>
          <w:snapToGrid w:val="0"/>
          <w:color w:val="auto"/>
          <w:kern w:val="0"/>
          <w:sz w:val="32"/>
          <w:szCs w:val="32"/>
          <w:highlight w:val="none"/>
          <w:lang w:val="en-US" w:eastAsia="zh-CN"/>
        </w:rPr>
        <w:t>提高重点指标分值，强化绩效考核对审判执行工作的引导和促进作用。强化职位指引，组织编写《职位说明书》，同步研发线上系统，建立定岗科学、定责清晰、定权合理的岗位责任体系，为青年干警提供清晰、准确的工作指南。</w:t>
      </w:r>
    </w:p>
    <w:p w14:paraId="4749271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2025年，前海法院将</w:t>
      </w:r>
      <w:r>
        <w:rPr>
          <w:rFonts w:hint="eastAsia" w:ascii="仿宋_GB2312" w:hAnsi="仿宋_GB2312" w:eastAsia="仿宋_GB2312" w:cs="仿宋_GB2312"/>
          <w:snapToGrid w:val="0"/>
          <w:color w:val="auto"/>
          <w:kern w:val="0"/>
          <w:sz w:val="32"/>
          <w:szCs w:val="32"/>
          <w:highlight w:val="none"/>
        </w:rPr>
        <w:t>继续以创新、奋斗、先行的姿态，以提升法律事务对外开放水平为重点，</w:t>
      </w:r>
      <w:r>
        <w:rPr>
          <w:rFonts w:hint="eastAsia" w:ascii="仿宋_GB2312" w:hAnsi="仿宋_GB2312" w:eastAsia="仿宋_GB2312" w:cs="仿宋_GB2312"/>
          <w:snapToGrid w:val="0"/>
          <w:color w:val="auto"/>
          <w:kern w:val="0"/>
          <w:sz w:val="32"/>
          <w:szCs w:val="32"/>
          <w:highlight w:val="none"/>
          <w:lang w:eastAsia="zh-CN"/>
        </w:rPr>
        <w:t>推动</w:t>
      </w:r>
      <w:r>
        <w:rPr>
          <w:rFonts w:hint="eastAsia" w:ascii="仿宋_GB2312" w:hAnsi="仿宋_GB2312" w:eastAsia="仿宋_GB2312" w:cs="仿宋_GB2312"/>
          <w:snapToGrid w:val="0"/>
          <w:color w:val="auto"/>
          <w:kern w:val="0"/>
          <w:sz w:val="32"/>
          <w:szCs w:val="32"/>
          <w:highlight w:val="none"/>
        </w:rPr>
        <w:t>形成更多制度</w:t>
      </w:r>
      <w:r>
        <w:rPr>
          <w:rFonts w:hint="eastAsia" w:ascii="仿宋_GB2312" w:hAnsi="仿宋_GB2312" w:eastAsia="仿宋_GB2312" w:cs="仿宋_GB2312"/>
          <w:snapToGrid w:val="0"/>
          <w:color w:val="auto"/>
          <w:kern w:val="0"/>
          <w:sz w:val="32"/>
          <w:szCs w:val="32"/>
          <w:highlight w:val="none"/>
          <w:lang w:eastAsia="zh-CN"/>
        </w:rPr>
        <w:t>性</w:t>
      </w:r>
      <w:r>
        <w:rPr>
          <w:rFonts w:hint="eastAsia" w:ascii="仿宋_GB2312" w:hAnsi="仿宋_GB2312" w:eastAsia="仿宋_GB2312" w:cs="仿宋_GB2312"/>
          <w:snapToGrid w:val="0"/>
          <w:color w:val="auto"/>
          <w:kern w:val="0"/>
          <w:sz w:val="32"/>
          <w:szCs w:val="32"/>
          <w:highlight w:val="none"/>
        </w:rPr>
        <w:t>成果</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着力打造开放层次更高、营商环境更优、辐射作用更强的对外开放新高地。</w:t>
      </w:r>
    </w:p>
    <w:p w14:paraId="597CCB87">
      <w:pPr>
        <w:rPr>
          <w:sz w:val="2"/>
          <w:szCs w:val="4"/>
        </w:rPr>
      </w:pPr>
    </w:p>
    <w:sectPr>
      <w:headerReference r:id="rId3" w:type="default"/>
      <w:footerReference r:id="rId5" w:type="default"/>
      <w:headerReference r:id="rId4" w:type="even"/>
      <w:footerReference r:id="rId6" w:type="even"/>
      <w:pgSz w:w="11906" w:h="16838"/>
      <w:pgMar w:top="2098" w:right="1474" w:bottom="1985" w:left="1588" w:header="850" w:footer="170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F11B04-A6CE-49B3-9AAE-00767DC4E2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E0911DA4-29CD-4862-A9F8-97EC076F8633}"/>
  </w:font>
  <w:font w:name="仿宋_GB2312">
    <w:panose1 w:val="02010609030101010101"/>
    <w:charset w:val="86"/>
    <w:family w:val="modern"/>
    <w:pitch w:val="default"/>
    <w:sig w:usb0="00000001" w:usb1="080E0000" w:usb2="00000000" w:usb3="00000000" w:csb0="00040000" w:csb1="00000000"/>
    <w:embedRegular r:id="rId3" w:fontKey="{0C02B24E-90A8-4D71-B5E0-97BD77613F30}"/>
  </w:font>
  <w:font w:name="楷体_GB2312">
    <w:panose1 w:val="02010609030101010101"/>
    <w:charset w:val="86"/>
    <w:family w:val="auto"/>
    <w:pitch w:val="default"/>
    <w:sig w:usb0="00000001" w:usb1="080E0000" w:usb2="00000000" w:usb3="00000000" w:csb0="00040000" w:csb1="00000000"/>
    <w:embedRegular r:id="rId4" w:fontKey="{35B53CAB-18D8-4C67-A265-BAC49BE13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6046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0611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9A0611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4768215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31963">
                          <w:pPr>
                            <w:pStyle w:val="4"/>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45pt;margin-top:0pt;height:144pt;width:144pt;mso-position-horizontal-relative:margin;mso-wrap-style:none;z-index:251659264;mso-width-relative:page;mso-height-relative:page;" filled="f" stroked="f" coordsize="21600,21600" o:gfxdata="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YeAwfVAAAACQEAAA8AAAAAAAAAAQAgAAAAIgAAAGRycy9kb3ducmV2&#10;LnhtbFBLAQIUABQAAAAIAIdO4kCYx6cMOAIAAG8EAAAOAAAAAAAAAAEAIAAAACQBAABkcnMvZTJv&#10;RG9jLnhtbFBLBQYAAAAABgAGAFkBAADOBQAAAAA=&#10;">
              <v:fill on="f" focussize="0,0"/>
              <v:stroke on="f" weight="0.5pt"/>
              <v:imagedata o:title=""/>
              <o:lock v:ext="edit" aspectratio="f"/>
              <v:textbox inset="0mm,0mm,0mm,0mm" style="mso-fit-shape-to-text:t;">
                <w:txbxContent>
                  <w:p w14:paraId="72731963">
                    <w:pPr>
                      <w:pStyle w:val="4"/>
                      <w:rPr>
                        <w:rFonts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99D0">
    <w:pPr>
      <w:pStyle w:val="4"/>
      <w:rPr>
        <w:rFonts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2116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OFJ8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s4UnyQEAAJkDAAAOAAAAAAAAAAEAIAAAAB4BAABkcnMvZTJvRG9j&#10;LnhtbFBLBQYAAAAABgAGAFkBAABZBQAAAAA=&#10;">
              <v:fill on="f" focussize="0,0"/>
              <v:stroke on="f"/>
              <v:imagedata o:title=""/>
              <o:lock v:ext="edit" aspectratio="f"/>
              <v:textbox inset="0mm,0mm,0mm,0mm" style="mso-fit-shape-to-text:t;">
                <w:txbxContent>
                  <w:p w14:paraId="1352116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985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A875">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NTg5NDAyMjc1NTE3ZWRmMmFiMGZhOTBmZjRhMzYifQ=="/>
  </w:docVars>
  <w:rsids>
    <w:rsidRoot w:val="00785A04"/>
    <w:rsid w:val="00017005"/>
    <w:rsid w:val="00050A7A"/>
    <w:rsid w:val="000642FE"/>
    <w:rsid w:val="00066256"/>
    <w:rsid w:val="00076F9F"/>
    <w:rsid w:val="000B76E2"/>
    <w:rsid w:val="000E516C"/>
    <w:rsid w:val="000F0D29"/>
    <w:rsid w:val="000F555A"/>
    <w:rsid w:val="001116DB"/>
    <w:rsid w:val="001940F2"/>
    <w:rsid w:val="001A7AF9"/>
    <w:rsid w:val="001B0F7B"/>
    <w:rsid w:val="001B4962"/>
    <w:rsid w:val="001D0CA3"/>
    <w:rsid w:val="00210801"/>
    <w:rsid w:val="0021279D"/>
    <w:rsid w:val="00213872"/>
    <w:rsid w:val="00220656"/>
    <w:rsid w:val="0024798E"/>
    <w:rsid w:val="002552C5"/>
    <w:rsid w:val="00270B7E"/>
    <w:rsid w:val="002942B6"/>
    <w:rsid w:val="002D7652"/>
    <w:rsid w:val="00340238"/>
    <w:rsid w:val="00341DD7"/>
    <w:rsid w:val="003514A6"/>
    <w:rsid w:val="0037162E"/>
    <w:rsid w:val="003C4905"/>
    <w:rsid w:val="004048FA"/>
    <w:rsid w:val="00440186"/>
    <w:rsid w:val="00470357"/>
    <w:rsid w:val="00480BEC"/>
    <w:rsid w:val="004A2CC9"/>
    <w:rsid w:val="004C28B2"/>
    <w:rsid w:val="004D3F71"/>
    <w:rsid w:val="004E61EB"/>
    <w:rsid w:val="00516C1A"/>
    <w:rsid w:val="00522DC9"/>
    <w:rsid w:val="0052501C"/>
    <w:rsid w:val="005379A5"/>
    <w:rsid w:val="00543E12"/>
    <w:rsid w:val="00646422"/>
    <w:rsid w:val="00660E74"/>
    <w:rsid w:val="006B576C"/>
    <w:rsid w:val="007200B9"/>
    <w:rsid w:val="007345A7"/>
    <w:rsid w:val="00736332"/>
    <w:rsid w:val="00752F22"/>
    <w:rsid w:val="00772E46"/>
    <w:rsid w:val="00785A04"/>
    <w:rsid w:val="007A3A01"/>
    <w:rsid w:val="007C35F2"/>
    <w:rsid w:val="007F6C6F"/>
    <w:rsid w:val="0081626E"/>
    <w:rsid w:val="008271A9"/>
    <w:rsid w:val="00842185"/>
    <w:rsid w:val="00865641"/>
    <w:rsid w:val="008843E3"/>
    <w:rsid w:val="008C61FB"/>
    <w:rsid w:val="008D6EDC"/>
    <w:rsid w:val="008E2DDD"/>
    <w:rsid w:val="008F44BA"/>
    <w:rsid w:val="008F5248"/>
    <w:rsid w:val="009212E0"/>
    <w:rsid w:val="00922092"/>
    <w:rsid w:val="009307C4"/>
    <w:rsid w:val="00930AA6"/>
    <w:rsid w:val="00974154"/>
    <w:rsid w:val="00976FAA"/>
    <w:rsid w:val="009B1A39"/>
    <w:rsid w:val="009E6AFB"/>
    <w:rsid w:val="00A002A5"/>
    <w:rsid w:val="00A12130"/>
    <w:rsid w:val="00A46384"/>
    <w:rsid w:val="00AA1EB3"/>
    <w:rsid w:val="00AB1812"/>
    <w:rsid w:val="00AD17C7"/>
    <w:rsid w:val="00B0644B"/>
    <w:rsid w:val="00BA5665"/>
    <w:rsid w:val="00BB248B"/>
    <w:rsid w:val="00BB2B56"/>
    <w:rsid w:val="00BC347A"/>
    <w:rsid w:val="00C11E84"/>
    <w:rsid w:val="00C126E3"/>
    <w:rsid w:val="00C15887"/>
    <w:rsid w:val="00C661BA"/>
    <w:rsid w:val="00C74195"/>
    <w:rsid w:val="00C77E81"/>
    <w:rsid w:val="00CC40C9"/>
    <w:rsid w:val="00CC61DD"/>
    <w:rsid w:val="00CF650C"/>
    <w:rsid w:val="00D064ED"/>
    <w:rsid w:val="00D06AA2"/>
    <w:rsid w:val="00D13230"/>
    <w:rsid w:val="00D2297A"/>
    <w:rsid w:val="00D334D0"/>
    <w:rsid w:val="00D5225A"/>
    <w:rsid w:val="00D716FE"/>
    <w:rsid w:val="00D8290B"/>
    <w:rsid w:val="00D95E94"/>
    <w:rsid w:val="00DA7D79"/>
    <w:rsid w:val="00DD5DDA"/>
    <w:rsid w:val="00DE3A4A"/>
    <w:rsid w:val="00DE6AFE"/>
    <w:rsid w:val="00DF5A03"/>
    <w:rsid w:val="00E0099C"/>
    <w:rsid w:val="00E169CE"/>
    <w:rsid w:val="00E20F11"/>
    <w:rsid w:val="00E217FE"/>
    <w:rsid w:val="00E45BBA"/>
    <w:rsid w:val="00EB238C"/>
    <w:rsid w:val="00EC7C0B"/>
    <w:rsid w:val="00ED3F75"/>
    <w:rsid w:val="00EE600A"/>
    <w:rsid w:val="00EF58F3"/>
    <w:rsid w:val="00F57440"/>
    <w:rsid w:val="00F705F0"/>
    <w:rsid w:val="00F70DA3"/>
    <w:rsid w:val="00F750ED"/>
    <w:rsid w:val="00FB7A6C"/>
    <w:rsid w:val="00FC1CD6"/>
    <w:rsid w:val="00FC5C57"/>
    <w:rsid w:val="00FD2D4F"/>
    <w:rsid w:val="00FD5D5B"/>
    <w:rsid w:val="00FE27D5"/>
    <w:rsid w:val="00FE519B"/>
    <w:rsid w:val="00FF5355"/>
    <w:rsid w:val="011A24F4"/>
    <w:rsid w:val="01303AC5"/>
    <w:rsid w:val="014A4B87"/>
    <w:rsid w:val="01944054"/>
    <w:rsid w:val="01C74429"/>
    <w:rsid w:val="01F33470"/>
    <w:rsid w:val="02165FF8"/>
    <w:rsid w:val="021E306D"/>
    <w:rsid w:val="024261A6"/>
    <w:rsid w:val="02B97A9C"/>
    <w:rsid w:val="02BC3862"/>
    <w:rsid w:val="032D4760"/>
    <w:rsid w:val="0374413D"/>
    <w:rsid w:val="037E4FBC"/>
    <w:rsid w:val="03F60FF6"/>
    <w:rsid w:val="047F2D99"/>
    <w:rsid w:val="056F49F4"/>
    <w:rsid w:val="05740424"/>
    <w:rsid w:val="05AC4062"/>
    <w:rsid w:val="05CF1AFF"/>
    <w:rsid w:val="06057FE3"/>
    <w:rsid w:val="061D0ABC"/>
    <w:rsid w:val="062B1E9B"/>
    <w:rsid w:val="06782196"/>
    <w:rsid w:val="0696086E"/>
    <w:rsid w:val="06CE625A"/>
    <w:rsid w:val="074A1D85"/>
    <w:rsid w:val="07807554"/>
    <w:rsid w:val="07B13617"/>
    <w:rsid w:val="080C703A"/>
    <w:rsid w:val="09455BA6"/>
    <w:rsid w:val="09497E1A"/>
    <w:rsid w:val="094B1695"/>
    <w:rsid w:val="096864F2"/>
    <w:rsid w:val="098B21E0"/>
    <w:rsid w:val="09BE6112"/>
    <w:rsid w:val="09D36BFF"/>
    <w:rsid w:val="0A6C2012"/>
    <w:rsid w:val="0B0B182B"/>
    <w:rsid w:val="0B2509B4"/>
    <w:rsid w:val="0BAF665A"/>
    <w:rsid w:val="0BB974D9"/>
    <w:rsid w:val="0C344DB1"/>
    <w:rsid w:val="0C5B0DF3"/>
    <w:rsid w:val="0CDD71F7"/>
    <w:rsid w:val="0CEB1914"/>
    <w:rsid w:val="0D006A41"/>
    <w:rsid w:val="0E075F61"/>
    <w:rsid w:val="0E5E1C72"/>
    <w:rsid w:val="0E811E04"/>
    <w:rsid w:val="0E8A2A67"/>
    <w:rsid w:val="0EF63A53"/>
    <w:rsid w:val="0F900551"/>
    <w:rsid w:val="1125116C"/>
    <w:rsid w:val="112A0531"/>
    <w:rsid w:val="118045F5"/>
    <w:rsid w:val="11D65292"/>
    <w:rsid w:val="11F72B09"/>
    <w:rsid w:val="123F625E"/>
    <w:rsid w:val="124F5DD4"/>
    <w:rsid w:val="13C73778"/>
    <w:rsid w:val="13C95DDF"/>
    <w:rsid w:val="145F6743"/>
    <w:rsid w:val="14972381"/>
    <w:rsid w:val="15D07EB9"/>
    <w:rsid w:val="16013F56"/>
    <w:rsid w:val="164E194E"/>
    <w:rsid w:val="16895CFA"/>
    <w:rsid w:val="16B40FC8"/>
    <w:rsid w:val="16DA097F"/>
    <w:rsid w:val="17884203"/>
    <w:rsid w:val="17BF5E77"/>
    <w:rsid w:val="18245CDA"/>
    <w:rsid w:val="18AF23F2"/>
    <w:rsid w:val="18B43502"/>
    <w:rsid w:val="19832ED4"/>
    <w:rsid w:val="1A255D39"/>
    <w:rsid w:val="1A2E2E40"/>
    <w:rsid w:val="1A7C004F"/>
    <w:rsid w:val="1A9058A9"/>
    <w:rsid w:val="1AE06A6B"/>
    <w:rsid w:val="1AED4AA9"/>
    <w:rsid w:val="1C597F1C"/>
    <w:rsid w:val="1CE04199"/>
    <w:rsid w:val="1DC1221D"/>
    <w:rsid w:val="1DFA7E83"/>
    <w:rsid w:val="1E426EBA"/>
    <w:rsid w:val="1E472722"/>
    <w:rsid w:val="1E4E1D03"/>
    <w:rsid w:val="1E6037E4"/>
    <w:rsid w:val="1E7C1425"/>
    <w:rsid w:val="1EDA17E8"/>
    <w:rsid w:val="1EFFFF96"/>
    <w:rsid w:val="1F4C5B16"/>
    <w:rsid w:val="20016901"/>
    <w:rsid w:val="20A976C4"/>
    <w:rsid w:val="20D74825"/>
    <w:rsid w:val="21EB5ABA"/>
    <w:rsid w:val="226132F4"/>
    <w:rsid w:val="226F3FF6"/>
    <w:rsid w:val="22813D29"/>
    <w:rsid w:val="22BD7457"/>
    <w:rsid w:val="230B67E8"/>
    <w:rsid w:val="231057D9"/>
    <w:rsid w:val="23905AC7"/>
    <w:rsid w:val="23971A56"/>
    <w:rsid w:val="23A91789"/>
    <w:rsid w:val="23AE44B6"/>
    <w:rsid w:val="23F46EA8"/>
    <w:rsid w:val="23FE1AD5"/>
    <w:rsid w:val="241C63FF"/>
    <w:rsid w:val="24E61397"/>
    <w:rsid w:val="24FB4266"/>
    <w:rsid w:val="25493224"/>
    <w:rsid w:val="2668642F"/>
    <w:rsid w:val="266F1DFA"/>
    <w:rsid w:val="26B3214D"/>
    <w:rsid w:val="26D7485F"/>
    <w:rsid w:val="272E0923"/>
    <w:rsid w:val="273A2810"/>
    <w:rsid w:val="275B0FEC"/>
    <w:rsid w:val="277A3B68"/>
    <w:rsid w:val="27B70919"/>
    <w:rsid w:val="285048C9"/>
    <w:rsid w:val="28893937"/>
    <w:rsid w:val="28A864B3"/>
    <w:rsid w:val="28B430AA"/>
    <w:rsid w:val="298C7B83"/>
    <w:rsid w:val="29D137E8"/>
    <w:rsid w:val="2A0616E3"/>
    <w:rsid w:val="2A36189D"/>
    <w:rsid w:val="2A465F84"/>
    <w:rsid w:val="2A554419"/>
    <w:rsid w:val="2AFB6D6E"/>
    <w:rsid w:val="2B726905"/>
    <w:rsid w:val="2BC90C1A"/>
    <w:rsid w:val="2C3C1CC1"/>
    <w:rsid w:val="2DB1292E"/>
    <w:rsid w:val="2E0F48DF"/>
    <w:rsid w:val="2E1343CF"/>
    <w:rsid w:val="2E514EF7"/>
    <w:rsid w:val="2E70537D"/>
    <w:rsid w:val="2ED973C6"/>
    <w:rsid w:val="2EE363F4"/>
    <w:rsid w:val="2F4F7F44"/>
    <w:rsid w:val="2F805A94"/>
    <w:rsid w:val="2FED0C50"/>
    <w:rsid w:val="2FF344B8"/>
    <w:rsid w:val="30183F1E"/>
    <w:rsid w:val="30CE282F"/>
    <w:rsid w:val="30F2476F"/>
    <w:rsid w:val="313C59EB"/>
    <w:rsid w:val="315216B2"/>
    <w:rsid w:val="31805AB5"/>
    <w:rsid w:val="31857392"/>
    <w:rsid w:val="318667A4"/>
    <w:rsid w:val="31D67CFB"/>
    <w:rsid w:val="31DB5204"/>
    <w:rsid w:val="31FB58A6"/>
    <w:rsid w:val="32C73929"/>
    <w:rsid w:val="33574D5E"/>
    <w:rsid w:val="33CD5020"/>
    <w:rsid w:val="33DC1707"/>
    <w:rsid w:val="342509B8"/>
    <w:rsid w:val="345B087E"/>
    <w:rsid w:val="34F860CC"/>
    <w:rsid w:val="351647A5"/>
    <w:rsid w:val="35221C02"/>
    <w:rsid w:val="35527ED3"/>
    <w:rsid w:val="35FD03A5"/>
    <w:rsid w:val="36121410"/>
    <w:rsid w:val="361427F9"/>
    <w:rsid w:val="36E52680"/>
    <w:rsid w:val="36F56D67"/>
    <w:rsid w:val="37135440"/>
    <w:rsid w:val="372F6355"/>
    <w:rsid w:val="37C4498C"/>
    <w:rsid w:val="38593E3A"/>
    <w:rsid w:val="38740160"/>
    <w:rsid w:val="38CD42C9"/>
    <w:rsid w:val="38EC2EA6"/>
    <w:rsid w:val="39616936"/>
    <w:rsid w:val="399F745E"/>
    <w:rsid w:val="39A46823"/>
    <w:rsid w:val="39FF6D61"/>
    <w:rsid w:val="3A22034B"/>
    <w:rsid w:val="3A2C0CAF"/>
    <w:rsid w:val="3A6A698E"/>
    <w:rsid w:val="3AB818FE"/>
    <w:rsid w:val="3ADD023E"/>
    <w:rsid w:val="3B2C087E"/>
    <w:rsid w:val="3B4402BD"/>
    <w:rsid w:val="3B5D312D"/>
    <w:rsid w:val="3B975968"/>
    <w:rsid w:val="3C2E05A3"/>
    <w:rsid w:val="3C801BC8"/>
    <w:rsid w:val="3C8C13E6"/>
    <w:rsid w:val="3D9B7F3D"/>
    <w:rsid w:val="3DE9514C"/>
    <w:rsid w:val="3E10092B"/>
    <w:rsid w:val="3E642A25"/>
    <w:rsid w:val="3E662FC7"/>
    <w:rsid w:val="3E9450B8"/>
    <w:rsid w:val="3EDA5F2B"/>
    <w:rsid w:val="3FBD063E"/>
    <w:rsid w:val="3FC419CD"/>
    <w:rsid w:val="3FDB17C4"/>
    <w:rsid w:val="401A783F"/>
    <w:rsid w:val="40A610D2"/>
    <w:rsid w:val="40E22E81"/>
    <w:rsid w:val="40E35E83"/>
    <w:rsid w:val="416A7316"/>
    <w:rsid w:val="41A27AEC"/>
    <w:rsid w:val="41CA2B9F"/>
    <w:rsid w:val="41E9571B"/>
    <w:rsid w:val="4202058A"/>
    <w:rsid w:val="4273020A"/>
    <w:rsid w:val="42817701"/>
    <w:rsid w:val="428617AE"/>
    <w:rsid w:val="42CB3072"/>
    <w:rsid w:val="431E31A2"/>
    <w:rsid w:val="433C187A"/>
    <w:rsid w:val="43425DD9"/>
    <w:rsid w:val="43963680"/>
    <w:rsid w:val="442E745B"/>
    <w:rsid w:val="448E25A9"/>
    <w:rsid w:val="44DA57EF"/>
    <w:rsid w:val="44FA19ED"/>
    <w:rsid w:val="457B0D80"/>
    <w:rsid w:val="45D65FB6"/>
    <w:rsid w:val="46386C71"/>
    <w:rsid w:val="46601D24"/>
    <w:rsid w:val="471C3E9C"/>
    <w:rsid w:val="4723522B"/>
    <w:rsid w:val="472D7E58"/>
    <w:rsid w:val="4779309D"/>
    <w:rsid w:val="47C84024"/>
    <w:rsid w:val="47F33C86"/>
    <w:rsid w:val="47F72214"/>
    <w:rsid w:val="48142DC6"/>
    <w:rsid w:val="48515DC8"/>
    <w:rsid w:val="489839F7"/>
    <w:rsid w:val="48CF47A5"/>
    <w:rsid w:val="48EB7FCA"/>
    <w:rsid w:val="498B36D1"/>
    <w:rsid w:val="49EB1093"/>
    <w:rsid w:val="49ED38CE"/>
    <w:rsid w:val="4A2C2648"/>
    <w:rsid w:val="4A9D2593"/>
    <w:rsid w:val="4B55797D"/>
    <w:rsid w:val="4B5C6F5D"/>
    <w:rsid w:val="4BA426B2"/>
    <w:rsid w:val="4BAD1567"/>
    <w:rsid w:val="4C017B05"/>
    <w:rsid w:val="4C52210E"/>
    <w:rsid w:val="4C547C35"/>
    <w:rsid w:val="4C5C2F8D"/>
    <w:rsid w:val="4C9B5863"/>
    <w:rsid w:val="4DFC0584"/>
    <w:rsid w:val="4E2B0E69"/>
    <w:rsid w:val="4E9609D8"/>
    <w:rsid w:val="4ED92673"/>
    <w:rsid w:val="4F0C2A48"/>
    <w:rsid w:val="4F337FD5"/>
    <w:rsid w:val="4FEF0F5B"/>
    <w:rsid w:val="505F4DFA"/>
    <w:rsid w:val="507E1724"/>
    <w:rsid w:val="50AD2009"/>
    <w:rsid w:val="50D650BC"/>
    <w:rsid w:val="50D87AE8"/>
    <w:rsid w:val="50EA7FD0"/>
    <w:rsid w:val="50EF43D0"/>
    <w:rsid w:val="5139564B"/>
    <w:rsid w:val="51692847"/>
    <w:rsid w:val="516E1798"/>
    <w:rsid w:val="518C7E71"/>
    <w:rsid w:val="51CB3E68"/>
    <w:rsid w:val="52905E25"/>
    <w:rsid w:val="53623551"/>
    <w:rsid w:val="538232D9"/>
    <w:rsid w:val="53901E9A"/>
    <w:rsid w:val="54821D35"/>
    <w:rsid w:val="54CF09F5"/>
    <w:rsid w:val="55384597"/>
    <w:rsid w:val="555B2034"/>
    <w:rsid w:val="557F78D5"/>
    <w:rsid w:val="560563F2"/>
    <w:rsid w:val="561641AD"/>
    <w:rsid w:val="561A3C9D"/>
    <w:rsid w:val="567814A5"/>
    <w:rsid w:val="56E11772"/>
    <w:rsid w:val="581A4428"/>
    <w:rsid w:val="584B45E2"/>
    <w:rsid w:val="584E6B5A"/>
    <w:rsid w:val="58727DC0"/>
    <w:rsid w:val="589A6800"/>
    <w:rsid w:val="590429E2"/>
    <w:rsid w:val="593037D7"/>
    <w:rsid w:val="593432C8"/>
    <w:rsid w:val="59396B30"/>
    <w:rsid w:val="59FB2037"/>
    <w:rsid w:val="5ADC3C17"/>
    <w:rsid w:val="5ADC7773"/>
    <w:rsid w:val="5AFC6067"/>
    <w:rsid w:val="5B184523"/>
    <w:rsid w:val="5B4F43E9"/>
    <w:rsid w:val="5B85605C"/>
    <w:rsid w:val="5C7B77D2"/>
    <w:rsid w:val="5D3513BC"/>
    <w:rsid w:val="5DF64961"/>
    <w:rsid w:val="5E0314BA"/>
    <w:rsid w:val="5E192A8C"/>
    <w:rsid w:val="5E48511F"/>
    <w:rsid w:val="5E6F4DA2"/>
    <w:rsid w:val="5F074FDA"/>
    <w:rsid w:val="5F24793A"/>
    <w:rsid w:val="5F667F53"/>
    <w:rsid w:val="5FB962D5"/>
    <w:rsid w:val="5FF4555F"/>
    <w:rsid w:val="60003F04"/>
    <w:rsid w:val="600A00D6"/>
    <w:rsid w:val="60327E35"/>
    <w:rsid w:val="605E5D75"/>
    <w:rsid w:val="612A69BD"/>
    <w:rsid w:val="62233915"/>
    <w:rsid w:val="6247406C"/>
    <w:rsid w:val="625A3DED"/>
    <w:rsid w:val="62BE1E54"/>
    <w:rsid w:val="635B58F5"/>
    <w:rsid w:val="635F53E5"/>
    <w:rsid w:val="6390559E"/>
    <w:rsid w:val="63954464"/>
    <w:rsid w:val="64267CB1"/>
    <w:rsid w:val="64835103"/>
    <w:rsid w:val="649B41FB"/>
    <w:rsid w:val="64B96D77"/>
    <w:rsid w:val="64D07D2D"/>
    <w:rsid w:val="655F791E"/>
    <w:rsid w:val="656211BC"/>
    <w:rsid w:val="65811974"/>
    <w:rsid w:val="65C43C25"/>
    <w:rsid w:val="66E0683D"/>
    <w:rsid w:val="67DD2D7C"/>
    <w:rsid w:val="67F87BB6"/>
    <w:rsid w:val="67FDB76A"/>
    <w:rsid w:val="68896A60"/>
    <w:rsid w:val="68A51AEC"/>
    <w:rsid w:val="68B63CF9"/>
    <w:rsid w:val="6908207B"/>
    <w:rsid w:val="699102C2"/>
    <w:rsid w:val="6A107439"/>
    <w:rsid w:val="6A1D56B2"/>
    <w:rsid w:val="6A345460"/>
    <w:rsid w:val="6A415844"/>
    <w:rsid w:val="6BA001DA"/>
    <w:rsid w:val="6C046B2A"/>
    <w:rsid w:val="6C1256EA"/>
    <w:rsid w:val="6C2C6080"/>
    <w:rsid w:val="6C3B5D30"/>
    <w:rsid w:val="6C9A56E0"/>
    <w:rsid w:val="6CAD4554"/>
    <w:rsid w:val="6CB24EA6"/>
    <w:rsid w:val="6CCB5899"/>
    <w:rsid w:val="6D7F5495"/>
    <w:rsid w:val="6E4E22DE"/>
    <w:rsid w:val="6E5A6C22"/>
    <w:rsid w:val="6E9A5523"/>
    <w:rsid w:val="6F2B6AC3"/>
    <w:rsid w:val="6F467459"/>
    <w:rsid w:val="6F963F3C"/>
    <w:rsid w:val="6FD76303"/>
    <w:rsid w:val="6FDB7F24"/>
    <w:rsid w:val="6FFE7D34"/>
    <w:rsid w:val="70390D6C"/>
    <w:rsid w:val="704D6FF0"/>
    <w:rsid w:val="70AD3C34"/>
    <w:rsid w:val="70FC0717"/>
    <w:rsid w:val="71005092"/>
    <w:rsid w:val="712F289B"/>
    <w:rsid w:val="71A1306D"/>
    <w:rsid w:val="729F135A"/>
    <w:rsid w:val="72B331CB"/>
    <w:rsid w:val="73AA26AC"/>
    <w:rsid w:val="74733518"/>
    <w:rsid w:val="7487654A"/>
    <w:rsid w:val="749B1A9C"/>
    <w:rsid w:val="74DD260E"/>
    <w:rsid w:val="74F87447"/>
    <w:rsid w:val="750E5928"/>
    <w:rsid w:val="754E7067"/>
    <w:rsid w:val="75764CF0"/>
    <w:rsid w:val="75874327"/>
    <w:rsid w:val="75882579"/>
    <w:rsid w:val="75AD0BD6"/>
    <w:rsid w:val="75EA4FE2"/>
    <w:rsid w:val="767E1BCE"/>
    <w:rsid w:val="76937428"/>
    <w:rsid w:val="76942572"/>
    <w:rsid w:val="7731279D"/>
    <w:rsid w:val="777059BB"/>
    <w:rsid w:val="777F175A"/>
    <w:rsid w:val="77843214"/>
    <w:rsid w:val="77846D70"/>
    <w:rsid w:val="77FF8AF2"/>
    <w:rsid w:val="78560097"/>
    <w:rsid w:val="78D3796F"/>
    <w:rsid w:val="793622EC"/>
    <w:rsid w:val="79561339"/>
    <w:rsid w:val="798412AA"/>
    <w:rsid w:val="79BA4CCB"/>
    <w:rsid w:val="7A287E87"/>
    <w:rsid w:val="7A4B2A2F"/>
    <w:rsid w:val="7AA8721A"/>
    <w:rsid w:val="7ACB4CB6"/>
    <w:rsid w:val="7ADE2C3C"/>
    <w:rsid w:val="7AE77D42"/>
    <w:rsid w:val="7AF50DFA"/>
    <w:rsid w:val="7B7E7831"/>
    <w:rsid w:val="7B8732D3"/>
    <w:rsid w:val="7BB06386"/>
    <w:rsid w:val="7C246D74"/>
    <w:rsid w:val="7C683105"/>
    <w:rsid w:val="7CBB9BFB"/>
    <w:rsid w:val="7CC846E8"/>
    <w:rsid w:val="7D7F1BB3"/>
    <w:rsid w:val="7D8F021D"/>
    <w:rsid w:val="7DB34CD3"/>
    <w:rsid w:val="7F5F07EF"/>
    <w:rsid w:val="7F743B6E"/>
    <w:rsid w:val="7F9A1827"/>
    <w:rsid w:val="ABFF97B5"/>
    <w:rsid w:val="AFFF3A98"/>
    <w:rsid w:val="BBEDB7E2"/>
    <w:rsid w:val="D7D7B84E"/>
    <w:rsid w:val="D7FEE081"/>
    <w:rsid w:val="E36E05D9"/>
    <w:rsid w:val="F5FC3568"/>
    <w:rsid w:val="F5FF9D7F"/>
    <w:rsid w:val="F7BF77F6"/>
    <w:rsid w:val="F9FF28DD"/>
    <w:rsid w:val="FAFCA672"/>
    <w:rsid w:val="FDDE7890"/>
    <w:rsid w:val="FE7F394B"/>
    <w:rsid w:val="FFCEC100"/>
    <w:rsid w:val="FFFC69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pPr>
    <w:rPr>
      <w:sz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4453</Words>
  <Characters>4692</Characters>
  <Lines>63</Lines>
  <Paragraphs>17</Paragraphs>
  <TotalTime>8</TotalTime>
  <ScaleCrop>false</ScaleCrop>
  <LinksUpToDate>false</LinksUpToDate>
  <CharactersWithSpaces>4692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2023-01-24T02:32:00Z</dcterms:created>
  <dc:creator>win</dc:creator>
  <cp:lastModifiedBy>Administrator</cp:lastModifiedBy>
  <cp:lastPrinted>2024-01-10T08:17:00Z</cp:lastPrinted>
  <dcterms:modified xsi:type="dcterms:W3CDTF">2025-10-13T08:16:27Z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80DCB1EFD16640C19A48226AF46D938F</vt:lpwstr>
  </property>
  <property fmtid="{D5CDD505-2E9C-101B-9397-08002B2CF9AE}" pid="4" name="KSOTemplateDocerSaveRecord">
    <vt:lpwstr>eyJoZGlkIjoiNmI2NTg5NDAyMjc1NTE3ZWRmMmFiMGZhOTBmZjRhMzYifQ==</vt:lpwstr>
  </property>
</Properties>
</file>